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F7E1B" w:rsidTr="00FF7E1B">
        <w:trPr>
          <w:jc w:val="center"/>
        </w:trPr>
        <w:tc>
          <w:tcPr>
            <w:tcW w:w="743" w:type="dxa"/>
            <w:hideMark/>
          </w:tcPr>
          <w:p w:rsidR="00FF7E1B" w:rsidRDefault="00FF7E1B">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FF7E1B" w:rsidRDefault="00FF7E1B" w:rsidP="005F67F3">
            <w:pPr>
              <w:jc w:val="left"/>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ליאת דהן חיון</w:t>
                </w:r>
                <w:r w:rsidR="005F67F3">
                  <w:rPr>
                    <w:rFonts w:ascii="Arial" w:hAnsi="Arial"/>
                    <w:b/>
                    <w:bCs/>
                    <w:rtl/>
                  </w:rPr>
                  <w:br/>
                </w:r>
              </w:sdtContent>
            </w:sdt>
          </w:p>
        </w:tc>
      </w:tr>
      <w:tr w:rsidR="00FF7E1B" w:rsidTr="00FF7E1B">
        <w:trPr>
          <w:trHeight w:val="556"/>
          <w:jc w:val="center"/>
        </w:trPr>
        <w:tc>
          <w:tcPr>
            <w:tcW w:w="3249" w:type="dxa"/>
            <w:gridSpan w:val="2"/>
            <w:hideMark/>
          </w:tcPr>
          <w:sdt>
            <w:sdtPr>
              <w:rPr>
                <w:b/>
                <w:bCs/>
                <w:rtl/>
              </w:rPr>
              <w:alias w:val="1180"/>
              <w:tag w:val="1180"/>
              <w:id w:val="-803768281"/>
              <w:text w:multiLine="1"/>
            </w:sdtPr>
            <w:sdtEndPr/>
            <w:sdtContent>
              <w:p w:rsidR="00FF7E1B" w:rsidRDefault="00FF7E1B">
                <w:pPr>
                  <w:jc w:val="left"/>
                  <w:rPr>
                    <w:rFonts w:ascii="Arial (W1)" w:hAnsi="Arial (W1)"/>
                    <w:b/>
                    <w:bCs/>
                    <w:sz w:val="28"/>
                    <w:szCs w:val="28"/>
                    <w:rtl/>
                  </w:rPr>
                </w:pPr>
                <w:r>
                  <w:rPr>
                    <w:b/>
                    <w:bCs/>
                    <w:sz w:val="28"/>
                    <w:rtl/>
                  </w:rPr>
                  <w:t>תובעת</w:t>
                </w:r>
                <w:r>
                  <w:rPr>
                    <w:b/>
                    <w:bCs/>
                    <w:rtl/>
                  </w:rPr>
                  <w:br/>
                  <w:t>נתבעת בתמ"ש 30328-07-16</w:t>
                </w:r>
              </w:p>
            </w:sdtContent>
          </w:sdt>
        </w:tc>
        <w:tc>
          <w:tcPr>
            <w:tcW w:w="5571" w:type="dxa"/>
            <w:hideMark/>
          </w:tcPr>
          <w:p w:rsidR="00FF7E1B" w:rsidRDefault="00DE374D" w:rsidP="005F67F3">
            <w:pPr>
              <w:jc w:val="left"/>
              <w:rPr>
                <w:rFonts w:ascii="Arial" w:hAnsi="Arial"/>
                <w:b/>
                <w:bCs/>
                <w:sz w:val="26"/>
                <w:szCs w:val="26"/>
              </w:rPr>
            </w:pPr>
            <w:sdt>
              <w:sdtPr>
                <w:rPr>
                  <w:b/>
                  <w:bCs/>
                  <w:sz w:val="28"/>
                  <w:rtl/>
                </w:rPr>
                <w:alias w:val="1478"/>
                <w:tag w:val="1478"/>
                <w:id w:val="160126198"/>
                <w:text w:multiLine="1"/>
              </w:sdtPr>
              <w:sdtEndPr/>
              <w:sdtContent>
                <w:r w:rsidR="004D461B">
                  <w:rPr>
                    <w:rFonts w:hint="cs"/>
                    <w:b/>
                    <w:bCs/>
                    <w:sz w:val="28"/>
                    <w:rtl/>
                  </w:rPr>
                  <w:t xml:space="preserve">פלונית </w:t>
                </w:r>
              </w:sdtContent>
            </w:sdt>
          </w:p>
          <w:p w:rsidR="00FF7E1B" w:rsidRDefault="00FF7E1B">
            <w:pPr>
              <w:jc w:val="left"/>
              <w:rPr>
                <w:rFonts w:ascii="Arial (W1)" w:hAnsi="Arial (W1)"/>
                <w:b/>
                <w:bCs/>
                <w:rtl/>
              </w:rPr>
            </w:pPr>
            <w:r>
              <w:rPr>
                <w:rFonts w:ascii="Arial" w:hAnsi="Arial"/>
                <w:b/>
                <w:bCs/>
                <w:rtl/>
              </w:rPr>
              <w:t>ע"י ב"כ עוה"ד</w:t>
            </w:r>
            <w:r>
              <w:rPr>
                <w:rFonts w:ascii="Arial (W1)" w:hAnsi="Arial (W1)"/>
                <w:b/>
                <w:bCs/>
                <w:rtl/>
              </w:rPr>
              <w:t xml:space="preserve"> טלי רונן</w:t>
            </w:r>
          </w:p>
        </w:tc>
      </w:tr>
      <w:tr w:rsidR="00FF7E1B" w:rsidTr="00FF7E1B">
        <w:trPr>
          <w:jc w:val="center"/>
        </w:trPr>
        <w:tc>
          <w:tcPr>
            <w:tcW w:w="8820" w:type="dxa"/>
            <w:gridSpan w:val="3"/>
          </w:tcPr>
          <w:p w:rsidR="00FF7E1B" w:rsidRPr="005F67F3" w:rsidRDefault="00FF7E1B">
            <w:pPr>
              <w:rPr>
                <w:rFonts w:ascii="Arial (W1)" w:hAnsi="Arial (W1)"/>
                <w:b/>
                <w:bCs/>
                <w:sz w:val="28"/>
                <w:szCs w:val="28"/>
              </w:rPr>
            </w:pPr>
          </w:p>
          <w:p w:rsidR="00FF7E1B" w:rsidRDefault="00FF7E1B">
            <w:pPr>
              <w:jc w:val="center"/>
              <w:rPr>
                <w:b/>
                <w:bCs/>
                <w:sz w:val="28"/>
                <w:rtl/>
              </w:rPr>
            </w:pPr>
            <w:r>
              <w:rPr>
                <w:b/>
                <w:bCs/>
                <w:sz w:val="28"/>
                <w:rtl/>
              </w:rPr>
              <w:t>נגד</w:t>
            </w:r>
          </w:p>
          <w:p w:rsidR="00FF7E1B" w:rsidRDefault="00FF7E1B">
            <w:pPr>
              <w:rPr>
                <w:rFonts w:ascii="Arial (W1)" w:hAnsi="Arial (W1)"/>
                <w:b/>
                <w:bCs/>
                <w:sz w:val="28"/>
                <w:szCs w:val="28"/>
                <w:rtl/>
              </w:rPr>
            </w:pPr>
          </w:p>
        </w:tc>
      </w:tr>
      <w:tr w:rsidR="00FF7E1B" w:rsidTr="00FF7E1B">
        <w:trPr>
          <w:jc w:val="center"/>
        </w:trPr>
        <w:tc>
          <w:tcPr>
            <w:tcW w:w="3249" w:type="dxa"/>
            <w:gridSpan w:val="2"/>
          </w:tcPr>
          <w:p w:rsidR="00FF7E1B" w:rsidRDefault="00DE374D" w:rsidP="005F67F3">
            <w:pPr>
              <w:jc w:val="left"/>
              <w:rPr>
                <w:rFonts w:ascii="Arial (W1)" w:hAnsi="Arial (W1)"/>
                <w:b/>
                <w:bCs/>
                <w:sz w:val="28"/>
                <w:szCs w:val="28"/>
                <w:rtl/>
              </w:rPr>
            </w:pPr>
            <w:sdt>
              <w:sdtPr>
                <w:rPr>
                  <w:b/>
                  <w:bCs/>
                  <w:rtl/>
                </w:rPr>
                <w:alias w:val="1184"/>
                <w:tag w:val="1184"/>
                <w:id w:val="-910234160"/>
                <w:text w:multiLine="1"/>
              </w:sdtPr>
              <w:sdtEndPr/>
              <w:sdtContent>
                <w:r w:rsidR="00FF7E1B">
                  <w:rPr>
                    <w:b/>
                    <w:bCs/>
                    <w:sz w:val="28"/>
                    <w:rtl/>
                  </w:rPr>
                  <w:t>נתבע</w:t>
                </w:r>
                <w:r w:rsidR="00FF7E1B">
                  <w:rPr>
                    <w:b/>
                    <w:bCs/>
                    <w:sz w:val="28"/>
                    <w:rtl/>
                  </w:rPr>
                  <w:br/>
                </w:r>
                <w:r w:rsidR="00FF7E1B">
                  <w:rPr>
                    <w:b/>
                    <w:bCs/>
                    <w:rtl/>
                  </w:rPr>
                  <w:t>תובע בתמ"ש 30328-07-16</w:t>
                </w:r>
              </w:sdtContent>
            </w:sdt>
          </w:p>
        </w:tc>
        <w:tc>
          <w:tcPr>
            <w:tcW w:w="5571" w:type="dxa"/>
          </w:tcPr>
          <w:p w:rsidR="00FF7E1B" w:rsidRDefault="005F67F3" w:rsidP="005F67F3">
            <w:pPr>
              <w:jc w:val="left"/>
              <w:rPr>
                <w:rtl/>
              </w:rPr>
            </w:pPr>
            <w:r>
              <w:rPr>
                <w:rFonts w:hint="cs"/>
                <w:b/>
                <w:bCs/>
                <w:sz w:val="28"/>
                <w:rtl/>
              </w:rPr>
              <w:t xml:space="preserve">אלמוני </w:t>
            </w:r>
            <w:r w:rsidR="00FF7E1B">
              <w:rPr>
                <w:rtl/>
              </w:rPr>
              <w:t xml:space="preserve"> </w:t>
            </w:r>
          </w:p>
          <w:p w:rsidR="00FF7E1B" w:rsidRDefault="00FF7E1B">
            <w:pPr>
              <w:jc w:val="left"/>
              <w:rPr>
                <w:rFonts w:ascii="Arial (W1)" w:hAnsi="Arial (W1)"/>
                <w:b/>
                <w:bCs/>
                <w:rtl/>
              </w:rPr>
            </w:pPr>
            <w:r>
              <w:rPr>
                <w:rFonts w:ascii="Arial" w:hAnsi="Arial"/>
                <w:b/>
                <w:bCs/>
                <w:rtl/>
              </w:rPr>
              <w:t>ע"י ב"כ עוה"ד</w:t>
            </w:r>
            <w:r>
              <w:rPr>
                <w:rFonts w:ascii="Arial (W1)" w:hAnsi="Arial (W1)"/>
                <w:b/>
                <w:bCs/>
                <w:rtl/>
              </w:rPr>
              <w:t xml:space="preserve"> רחל ממן</w:t>
            </w:r>
          </w:p>
        </w:tc>
      </w:tr>
    </w:tbl>
    <w:p w:rsidR="00FF7E1B" w:rsidRDefault="00FF7E1B" w:rsidP="00FF7E1B">
      <w:pPr>
        <w:suppressLineNumbers/>
      </w:pPr>
    </w:p>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F7E1B" w:rsidTr="00FF7E1B">
        <w:trPr>
          <w:jc w:val="center"/>
        </w:trPr>
        <w:tc>
          <w:tcPr>
            <w:tcW w:w="8820" w:type="dxa"/>
            <w:hideMark/>
          </w:tcPr>
          <w:p w:rsidR="00FF7E1B" w:rsidRDefault="00FF7E1B">
            <w:pPr>
              <w:bidi w:val="0"/>
              <w:jc w:val="center"/>
              <w:rPr>
                <w:rFonts w:ascii="Arial" w:hAnsi="Arial"/>
                <w:b/>
                <w:bCs/>
                <w:sz w:val="28"/>
                <w:szCs w:val="28"/>
                <w:u w:val="single"/>
              </w:rPr>
            </w:pPr>
            <w:r>
              <w:rPr>
                <w:rFonts w:ascii="Arial" w:hAnsi="Arial"/>
                <w:b/>
                <w:bCs/>
                <w:sz w:val="28"/>
                <w:szCs w:val="28"/>
                <w:u w:val="single"/>
                <w:rtl/>
              </w:rPr>
              <w:t>פסק דין</w:t>
            </w:r>
          </w:p>
        </w:tc>
      </w:tr>
    </w:tbl>
    <w:p w:rsidR="00FF7E1B" w:rsidRDefault="00FF7E1B" w:rsidP="00FF7E1B">
      <w:pPr>
        <w:spacing w:line="360" w:lineRule="auto"/>
        <w:jc w:val="both"/>
        <w:rPr>
          <w:rFonts w:ascii="Arial" w:hAnsi="Arial"/>
        </w:rPr>
      </w:pPr>
    </w:p>
    <w:p w:rsidR="00FF7E1B" w:rsidRDefault="00FF7E1B" w:rsidP="00FF7E1B">
      <w:pPr>
        <w:spacing w:line="360" w:lineRule="auto"/>
        <w:jc w:val="both"/>
        <w:rPr>
          <w:rFonts w:ascii="David" w:hAnsi="David"/>
          <w:rtl/>
        </w:rPr>
      </w:pPr>
      <w:r>
        <w:rPr>
          <w:rFonts w:ascii="David" w:hAnsi="David"/>
          <w:rtl/>
        </w:rPr>
        <w:t>עניינו של פס"ד זה בתביעה להגדלת דמי מזונות, ובתביעה לחיוב בדמי שימוש ראויים.</w:t>
      </w:r>
    </w:p>
    <w:p w:rsidR="00FF7E1B" w:rsidRDefault="00FF7E1B" w:rsidP="00FF7E1B">
      <w:pPr>
        <w:jc w:val="both"/>
        <w:rPr>
          <w:rFonts w:ascii="David" w:hAnsi="David"/>
          <w:rtl/>
        </w:rPr>
      </w:pPr>
    </w:p>
    <w:p w:rsidR="00FF7E1B" w:rsidRDefault="00FF7E1B" w:rsidP="00FF7E1B">
      <w:pPr>
        <w:spacing w:line="360" w:lineRule="auto"/>
        <w:rPr>
          <w:rFonts w:ascii="David" w:hAnsi="David"/>
          <w:b/>
          <w:bCs/>
          <w:sz w:val="28"/>
          <w:szCs w:val="28"/>
          <w:u w:val="single"/>
        </w:rPr>
      </w:pPr>
      <w:r>
        <w:rPr>
          <w:rFonts w:ascii="David" w:hAnsi="David"/>
          <w:b/>
          <w:bCs/>
          <w:sz w:val="28"/>
          <w:szCs w:val="28"/>
          <w:u w:val="single"/>
          <w:rtl/>
        </w:rPr>
        <w:t>רקע ועובדות רלוונטיות לענייננו:</w:t>
      </w:r>
    </w:p>
    <w:p w:rsidR="00FF7E1B" w:rsidRDefault="00FF7E1B" w:rsidP="00FF7E1B">
      <w:pPr>
        <w:rPr>
          <w:rFonts w:ascii="David" w:hAnsi="David"/>
          <w:b/>
          <w:bCs/>
          <w:sz w:val="28"/>
          <w:szCs w:val="28"/>
          <w:u w:val="single"/>
          <w:rtl/>
        </w:rPr>
      </w:pPr>
    </w:p>
    <w:p w:rsidR="00FF7E1B" w:rsidRDefault="00FF7E1B" w:rsidP="005534D5">
      <w:pPr>
        <w:pStyle w:val="aa"/>
        <w:numPr>
          <w:ilvl w:val="0"/>
          <w:numId w:val="1"/>
        </w:numPr>
        <w:spacing w:line="360" w:lineRule="auto"/>
        <w:jc w:val="both"/>
        <w:rPr>
          <w:rFonts w:ascii="David" w:hAnsi="David" w:cs="David"/>
          <w:sz w:val="24"/>
          <w:szCs w:val="24"/>
          <w:rtl/>
        </w:rPr>
      </w:pPr>
      <w:r>
        <w:rPr>
          <w:rFonts w:ascii="David" w:hAnsi="David" w:cs="David"/>
          <w:sz w:val="24"/>
          <w:szCs w:val="24"/>
          <w:rtl/>
        </w:rPr>
        <w:t>התובע</w:t>
      </w:r>
      <w:r>
        <w:rPr>
          <w:rtl/>
        </w:rPr>
        <w:t xml:space="preserve"> </w:t>
      </w:r>
      <w:r>
        <w:rPr>
          <w:rFonts w:ascii="David" w:hAnsi="David" w:cs="David"/>
          <w:sz w:val="24"/>
          <w:szCs w:val="24"/>
          <w:rtl/>
        </w:rPr>
        <w:t xml:space="preserve">בתמ"ש 30328-07-16 ונתבע בתמ"ש 61481-05-20 (להלן: </w:t>
      </w:r>
      <w:r>
        <w:rPr>
          <w:rFonts w:ascii="David" w:hAnsi="David" w:cs="David"/>
          <w:b/>
          <w:bCs/>
          <w:sz w:val="24"/>
          <w:szCs w:val="24"/>
          <w:rtl/>
        </w:rPr>
        <w:t xml:space="preserve">"התובע" </w:t>
      </w:r>
      <w:r>
        <w:rPr>
          <w:rFonts w:ascii="David" w:hAnsi="David" w:cs="David"/>
          <w:sz w:val="24"/>
          <w:szCs w:val="24"/>
          <w:rtl/>
        </w:rPr>
        <w:t>או "</w:t>
      </w:r>
      <w:r>
        <w:rPr>
          <w:rFonts w:ascii="David" w:hAnsi="David" w:cs="David"/>
          <w:b/>
          <w:bCs/>
          <w:sz w:val="24"/>
          <w:szCs w:val="24"/>
          <w:rtl/>
        </w:rPr>
        <w:t>האיש"</w:t>
      </w:r>
      <w:r>
        <w:rPr>
          <w:rFonts w:ascii="David" w:hAnsi="David" w:cs="David"/>
          <w:sz w:val="24"/>
          <w:szCs w:val="24"/>
          <w:rtl/>
        </w:rPr>
        <w:t>), והנתבעת</w:t>
      </w:r>
      <w:r>
        <w:rPr>
          <w:rtl/>
        </w:rPr>
        <w:t xml:space="preserve"> </w:t>
      </w:r>
      <w:r>
        <w:rPr>
          <w:rFonts w:ascii="David" w:hAnsi="David" w:cs="David"/>
          <w:sz w:val="24"/>
          <w:szCs w:val="24"/>
          <w:rtl/>
        </w:rPr>
        <w:t xml:space="preserve">בתמ"ש 30328-07-16 ותובעת בתמ"ש 61481-05-20 (להלן: </w:t>
      </w:r>
      <w:r>
        <w:rPr>
          <w:rFonts w:ascii="David" w:hAnsi="David" w:cs="David"/>
          <w:b/>
          <w:bCs/>
          <w:sz w:val="24"/>
          <w:szCs w:val="24"/>
          <w:rtl/>
        </w:rPr>
        <w:t xml:space="preserve">"הנתבעת" </w:t>
      </w:r>
      <w:r>
        <w:rPr>
          <w:rFonts w:ascii="David" w:hAnsi="David" w:cs="David"/>
          <w:sz w:val="24"/>
          <w:szCs w:val="24"/>
          <w:rtl/>
        </w:rPr>
        <w:t xml:space="preserve">או </w:t>
      </w:r>
      <w:r>
        <w:rPr>
          <w:rFonts w:ascii="David" w:hAnsi="David" w:cs="David"/>
          <w:b/>
          <w:bCs/>
          <w:sz w:val="24"/>
          <w:szCs w:val="24"/>
          <w:rtl/>
        </w:rPr>
        <w:t>"האישה"</w:t>
      </w:r>
      <w:r>
        <w:rPr>
          <w:rFonts w:ascii="David" w:hAnsi="David" w:cs="David"/>
          <w:sz w:val="24"/>
          <w:szCs w:val="24"/>
          <w:rtl/>
        </w:rPr>
        <w:t xml:space="preserve">), נישאו זל"ז ביום 7.1.99 והתגרשו בגט פיטורין ביום 12.2.17. מנישואיהם נולדו שלושת ילדיהם, </w:t>
      </w:r>
      <w:r w:rsidR="005534D5">
        <w:rPr>
          <w:rFonts w:ascii="David" w:hAnsi="David" w:cs="David" w:hint="cs"/>
          <w:sz w:val="24"/>
          <w:szCs w:val="24"/>
          <w:rtl/>
        </w:rPr>
        <w:t xml:space="preserve">*** </w:t>
      </w:r>
      <w:r>
        <w:rPr>
          <w:rFonts w:ascii="David" w:hAnsi="David" w:cs="David"/>
          <w:sz w:val="24"/>
          <w:szCs w:val="24"/>
          <w:rtl/>
        </w:rPr>
        <w:t xml:space="preserve">יליד שנת 2000 (בן 23), </w:t>
      </w:r>
      <w:r w:rsidR="005534D5">
        <w:rPr>
          <w:rFonts w:ascii="David" w:hAnsi="David" w:cs="David" w:hint="cs"/>
          <w:sz w:val="24"/>
          <w:szCs w:val="24"/>
          <w:rtl/>
        </w:rPr>
        <w:t xml:space="preserve">*** </w:t>
      </w:r>
      <w:r>
        <w:rPr>
          <w:rFonts w:ascii="David" w:hAnsi="David" w:cs="David"/>
          <w:sz w:val="24"/>
          <w:szCs w:val="24"/>
          <w:rtl/>
        </w:rPr>
        <w:t xml:space="preserve">ילידת 2002 (בת 21), </w:t>
      </w:r>
      <w:r w:rsidR="005534D5">
        <w:rPr>
          <w:rFonts w:ascii="David" w:hAnsi="David" w:cs="David" w:hint="cs"/>
          <w:sz w:val="24"/>
          <w:szCs w:val="24"/>
          <w:rtl/>
        </w:rPr>
        <w:t xml:space="preserve">*** </w:t>
      </w:r>
      <w:r>
        <w:rPr>
          <w:rFonts w:ascii="David" w:hAnsi="David" w:cs="David"/>
          <w:sz w:val="24"/>
          <w:szCs w:val="24"/>
          <w:rtl/>
        </w:rPr>
        <w:t xml:space="preserve">ילידת שנת 2011 (בת 12). הצדדים נפרדו ביום 30.9.14 ומיום זה, התובע מתגורר בדירה שכורה והנתבעת מתגוררת בדירת המגורים המשותפת הכוללת יחידת דיור שהושכרה לפרקים.  </w:t>
      </w:r>
    </w:p>
    <w:p w:rsidR="00FF7E1B" w:rsidRDefault="00FF7E1B" w:rsidP="00FF7E1B">
      <w:pPr>
        <w:pStyle w:val="aa"/>
        <w:spacing w:line="240" w:lineRule="auto"/>
        <w:ind w:left="360"/>
        <w:jc w:val="both"/>
        <w:rPr>
          <w:rFonts w:ascii="David" w:hAnsi="David" w:cs="David"/>
          <w:sz w:val="24"/>
          <w:szCs w:val="24"/>
          <w:rtl/>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בין הצדדים מתנהל סכסוך ממושך מזה 7 שנים, הכולל  9 הליכים בפני בית משפט זה, בעניין מזונות, זמני שהות ואיזון משאבים, וכן הליכים בבית הדין הרבני. יצוין ששני הצדדים עתרו לחיוב הצד שכנגד במזונות הקטינים; התובע במסגרת הליך זה שלפניי, והנתבעת במסגרת תיק   6587-01-16, שנמחקה מחוסר מעש ביום 21.2.16. </w:t>
      </w:r>
    </w:p>
    <w:p w:rsidR="00FF7E1B" w:rsidRDefault="00FF7E1B" w:rsidP="00FF7E1B">
      <w:pPr>
        <w:pStyle w:val="aa"/>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14.7.16 עתר התובע לפירוק שיתוף בדירת המגורים המשותפת של הצדדים ולפסיקת דמי שימוש ראויים (תמ"ש 30328-07-16). במסגרת ההליך עתר לסעדים נוספים, אשר לגביהם לא נדרשת הכרעה, כפי שיפורט בהמשך;  ביום 27.5.20 עתרה התובעת להגדלת דמי מזונות שנקבעו בהסכמה (תמ"ש 61481-05-20 ). </w:t>
      </w:r>
      <w:r>
        <w:rPr>
          <w:rFonts w:ascii="David" w:hAnsi="David" w:cs="David"/>
          <w:sz w:val="24"/>
          <w:szCs w:val="24"/>
          <w:u w:val="single"/>
          <w:rtl/>
        </w:rPr>
        <w:t>אלה ההליכים נשוא פס"ד זה</w:t>
      </w:r>
      <w:r>
        <w:rPr>
          <w:rFonts w:ascii="David" w:hAnsi="David" w:cs="David"/>
          <w:sz w:val="24"/>
          <w:szCs w:val="24"/>
          <w:rtl/>
        </w:rPr>
        <w:t xml:space="preserve">. </w:t>
      </w:r>
    </w:p>
    <w:p w:rsidR="00FF7E1B" w:rsidRDefault="00FF7E1B" w:rsidP="00FF7E1B">
      <w:pPr>
        <w:pStyle w:val="aa"/>
        <w:spacing w:line="240" w:lineRule="auto"/>
        <w:ind w:left="360"/>
        <w:jc w:val="both"/>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בדיון מיום 1.3.2017 הגיעו הצדדים להסכמות שאושרו וניתן להן תוקף של החלטה, לפיהן יחלקו משמורת ואחריות הורית משותפת, תוך התחשבות ברצונם וצורכיהם של הקטינים, אז בגילאי 17, 15, 6. עוד, לא נקבע תשלום מזונות לחובת מי מהצדדים (להלן: "</w:t>
      </w:r>
      <w:r>
        <w:rPr>
          <w:rFonts w:ascii="David" w:hAnsi="David" w:cs="David"/>
          <w:b/>
          <w:bCs/>
          <w:sz w:val="24"/>
          <w:szCs w:val="24"/>
          <w:rtl/>
        </w:rPr>
        <w:t>ההסכם</w:t>
      </w:r>
      <w:r>
        <w:rPr>
          <w:rFonts w:ascii="David" w:hAnsi="David" w:cs="David"/>
          <w:sz w:val="24"/>
          <w:szCs w:val="24"/>
          <w:rtl/>
        </w:rPr>
        <w:t xml:space="preserve">"). בדיון מיום  12.9.19 ולאור ההסכם בהתאם לו נהגו הצדדים, עתר התובע למחוק את תביעותיו לחיוב הנתבעת במזונות הקטינים ולקביעת משמורת ( תמ"ש 30310-07-16 ו- 30354-07-16), ואלה נמחקו.  </w:t>
      </w: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בנוסף, ביום 1.3.17, הגיעו הצדדים להסכמות לעניין השבת הלוואה לגברת </w:t>
      </w:r>
      <w:r w:rsidR="005534D5">
        <w:rPr>
          <w:rFonts w:ascii="David" w:hAnsi="David" w:cs="David" w:hint="cs"/>
          <w:sz w:val="24"/>
          <w:szCs w:val="24"/>
          <w:rtl/>
        </w:rPr>
        <w:t>*** ***</w:t>
      </w:r>
      <w:r>
        <w:rPr>
          <w:rFonts w:ascii="David" w:hAnsi="David" w:cs="David"/>
          <w:sz w:val="24"/>
          <w:szCs w:val="24"/>
          <w:rtl/>
        </w:rPr>
        <w:t>, דודתה של התובעת (להלן:"</w:t>
      </w:r>
      <w:r>
        <w:rPr>
          <w:rFonts w:ascii="David" w:hAnsi="David" w:cs="David"/>
          <w:b/>
          <w:bCs/>
          <w:sz w:val="24"/>
          <w:szCs w:val="24"/>
          <w:rtl/>
        </w:rPr>
        <w:t>הדודה"),</w:t>
      </w:r>
      <w:r>
        <w:rPr>
          <w:rFonts w:ascii="David" w:hAnsi="David" w:cs="David"/>
          <w:sz w:val="24"/>
          <w:szCs w:val="24"/>
          <w:rtl/>
        </w:rPr>
        <w:t xml:space="preserve"> ולפיה סכום החוב הינו 101,000 ₪, ולפירעונו, ישלם התובע סך של 35,500 ₪ והנתבעת 65,500 ₪  (ראה עמוד 11 לפרוטוקול הדיון מאותו היום, שורות 23-26). </w:t>
      </w:r>
    </w:p>
    <w:p w:rsidR="00FF7E1B" w:rsidRDefault="00FF7E1B" w:rsidP="00FF7E1B">
      <w:pPr>
        <w:tabs>
          <w:tab w:val="left" w:pos="2620"/>
        </w:tabs>
        <w:jc w:val="both"/>
        <w:rPr>
          <w:rFonts w:ascii="David" w:hAnsi="David"/>
        </w:rPr>
      </w:pPr>
      <w:r>
        <w:rPr>
          <w:rFonts w:ascii="David" w:hAnsi="David"/>
          <w:rtl/>
        </w:rPr>
        <w:tab/>
      </w:r>
    </w:p>
    <w:p w:rsidR="00FF7E1B" w:rsidRDefault="00FF7E1B" w:rsidP="005534D5">
      <w:pPr>
        <w:pStyle w:val="aa"/>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ביום 26.12.16 ניתן </w:t>
      </w:r>
      <w:r>
        <w:rPr>
          <w:rFonts w:ascii="David" w:hAnsi="David" w:cs="David"/>
          <w:b/>
          <w:bCs/>
          <w:sz w:val="24"/>
          <w:szCs w:val="24"/>
          <w:rtl/>
        </w:rPr>
        <w:t>צו לפירוק שיתוף</w:t>
      </w:r>
      <w:r>
        <w:rPr>
          <w:rFonts w:ascii="David" w:hAnsi="David" w:cs="David"/>
          <w:sz w:val="24"/>
          <w:szCs w:val="24"/>
          <w:rtl/>
        </w:rPr>
        <w:t xml:space="preserve"> ביחס לזכויות הצדדים בנכס נשוא המחלוקת הנמצא ברחוב </w:t>
      </w:r>
      <w:r w:rsidR="005534D5">
        <w:rPr>
          <w:rFonts w:ascii="David" w:hAnsi="David" w:cs="David" w:hint="cs"/>
          <w:sz w:val="24"/>
          <w:szCs w:val="24"/>
          <w:rtl/>
        </w:rPr>
        <w:t xml:space="preserve">*** ב*** </w:t>
      </w:r>
      <w:r>
        <w:rPr>
          <w:rFonts w:ascii="David" w:hAnsi="David" w:cs="David"/>
          <w:sz w:val="24"/>
          <w:szCs w:val="24"/>
          <w:rtl/>
        </w:rPr>
        <w:t xml:space="preserve">והידוע כגוש 19872 חלקה </w:t>
      </w:r>
      <w:r w:rsidR="005534D5">
        <w:rPr>
          <w:rFonts w:ascii="David" w:hAnsi="David" w:cs="David" w:hint="cs"/>
          <w:sz w:val="24"/>
          <w:szCs w:val="24"/>
          <w:rtl/>
        </w:rPr>
        <w:t>***</w:t>
      </w:r>
      <w:r>
        <w:rPr>
          <w:rFonts w:ascii="David" w:hAnsi="David" w:cs="David"/>
          <w:sz w:val="24"/>
          <w:szCs w:val="24"/>
          <w:rtl/>
        </w:rPr>
        <w:t xml:space="preserve">, </w:t>
      </w:r>
      <w:r w:rsidR="005534D5">
        <w:rPr>
          <w:rFonts w:ascii="David" w:hAnsi="David" w:cs="David" w:hint="cs"/>
          <w:sz w:val="24"/>
          <w:szCs w:val="24"/>
          <w:rtl/>
        </w:rPr>
        <w:t xml:space="preserve">*** </w:t>
      </w:r>
      <w:r>
        <w:rPr>
          <w:rFonts w:ascii="David" w:hAnsi="David" w:cs="David"/>
          <w:sz w:val="24"/>
          <w:szCs w:val="24"/>
          <w:rtl/>
        </w:rPr>
        <w:t xml:space="preserve">תת חלקה </w:t>
      </w:r>
      <w:r w:rsidR="005534D5">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הנכס או דירת המגורים</w:t>
      </w:r>
      <w:r>
        <w:rPr>
          <w:rFonts w:ascii="David" w:hAnsi="David" w:cs="David"/>
          <w:sz w:val="24"/>
          <w:szCs w:val="24"/>
          <w:rtl/>
        </w:rPr>
        <w:t>"); ביום 25.1.17 ניתנה החלטת בית המשפט מסגרתה נקבע שהנתבעת תרכוש את זכויות התובע בנכס; ביום 22.12.19 ולאחר שנתבעת עיכבה את פירוק שיתוף, ניתנה החלטה נוספת המורה על פירוק שיתוף, באופן בו הנתבעת תעביר לתובע סך של 580,000 ₪ תוך 45 ימים. מסכום זה, יועבר לתובע סך של 340,000 ₪ והיתרה תיוותר בנאמנות; הנתבעת הגישה בקשת רשות ערעור על החלטה זו, וביום 2.4.20</w:t>
      </w:r>
      <w:r>
        <w:rPr>
          <w:rFonts w:ascii="David" w:hAnsi="David" w:cs="David"/>
          <w:b/>
          <w:bCs/>
          <w:sz w:val="24"/>
          <w:szCs w:val="24"/>
          <w:rtl/>
        </w:rPr>
        <w:t xml:space="preserve"> </w:t>
      </w:r>
      <w:r>
        <w:rPr>
          <w:rFonts w:ascii="David" w:hAnsi="David" w:cs="David"/>
          <w:sz w:val="24"/>
          <w:szCs w:val="24"/>
          <w:rtl/>
        </w:rPr>
        <w:t>ניתן פסק דינו של ביהמ"ש המחוזי בחיפה (כבוד השופט סילמן ברמ"ש 55931-01-20) מסגרתו נקבע שעל הנתבעת להעביר לתובע את חלקו בדירה בהתאם לצו פירוק השיתוף שניתן 3 שנים קודם לכן, ומסכום זה יש לקזז סך של 120,000 ₪ עבור הכתובה בהתאם לפס"ד של בית הדין הרבני, הסכומים הקבועים בחוו"ד האקטואר (20,347 ₪ ו- 26,441 ₪) וסך של 35,500 ₪ עבור הלוואת הדודה. מכאן, הנתבעת חויבה להעביר לתובע סך של 377,712 ₪ תוך 30 ימים. עוד נקבע שמסכום זה יועבר לידי התובע סך של 277,000 ₪, והיתרה תיוותר בנאמנות בידי באת-כוחו עד הכרעה ביתר הסוגיות שבמחלוקת.</w:t>
      </w:r>
    </w:p>
    <w:p w:rsidR="00FF7E1B" w:rsidRDefault="00FF7E1B" w:rsidP="00FF7E1B">
      <w:pPr>
        <w:jc w:val="both"/>
        <w:rPr>
          <w:rFonts w:ascii="David" w:hAnsi="David"/>
          <w:u w:val="single"/>
        </w:rPr>
      </w:pPr>
    </w:p>
    <w:p w:rsidR="00FF7E1B" w:rsidRDefault="00FF7E1B" w:rsidP="005534D5">
      <w:pPr>
        <w:pStyle w:val="aa"/>
        <w:numPr>
          <w:ilvl w:val="0"/>
          <w:numId w:val="1"/>
        </w:numPr>
        <w:spacing w:line="360" w:lineRule="auto"/>
        <w:jc w:val="both"/>
        <w:rPr>
          <w:rFonts w:ascii="David" w:hAnsi="David" w:cs="David"/>
          <w:sz w:val="24"/>
          <w:szCs w:val="24"/>
          <w:rtl/>
        </w:rPr>
      </w:pPr>
      <w:r>
        <w:rPr>
          <w:rFonts w:ascii="David" w:hAnsi="David" w:cs="David"/>
          <w:sz w:val="24"/>
          <w:szCs w:val="24"/>
          <w:rtl/>
        </w:rPr>
        <w:t>ביום 26.12.16 הוגשה חו"ד שמאי שמונה בהליך על מנת להעריך את שווי הנכס, לרבות יחידת הדיור הצמודה לו (להלן: "</w:t>
      </w:r>
      <w:r>
        <w:rPr>
          <w:rFonts w:ascii="David" w:hAnsi="David" w:cs="David"/>
          <w:b/>
          <w:bCs/>
          <w:sz w:val="24"/>
          <w:szCs w:val="24"/>
          <w:rtl/>
        </w:rPr>
        <w:t>היחידה או יחידת הדיור</w:t>
      </w:r>
      <w:r>
        <w:rPr>
          <w:rFonts w:ascii="David" w:hAnsi="David" w:cs="David"/>
          <w:sz w:val="24"/>
          <w:szCs w:val="24"/>
          <w:rtl/>
        </w:rPr>
        <w:t xml:space="preserve">"), וזה ואמד את שווי הזכויות בסך 1,160,000 ₪;  ביום 12.5.19 עודכנה חוות הדעת, והשמאי מצא שלא חל כל שינוי בשווי הנכס.  כמו כן, נתבקש השמאי לאמוד את שווי דמי השימוש הראויים בנכס וביחידת הדיור לתקופה של 28 חודשים, החל  מיום 1.1.17 (מועד הגירושין) ועד 1.5.19 (מועד פסה"ד לתשלום סופי עבור המכירה). בחוות דעתו העריך את דמי השימוש בדירה בסך  3,700 ₪  לחודש, וביחידת הדיור בסך  2,000 ₪, וקבע את דמי השימוש לתקופת השומה, עבור יחידת הדיור בסך 56,000 ₪ ועבור הנכס בסך  103,600 ₪ (להלן: </w:t>
      </w:r>
      <w:r>
        <w:rPr>
          <w:rFonts w:ascii="David" w:hAnsi="David" w:cs="David"/>
          <w:b/>
          <w:bCs/>
          <w:sz w:val="24"/>
          <w:szCs w:val="24"/>
          <w:rtl/>
        </w:rPr>
        <w:t>"חו"ד השמאי"</w:t>
      </w:r>
      <w:r>
        <w:rPr>
          <w:rFonts w:ascii="David" w:hAnsi="David" w:cs="David"/>
          <w:sz w:val="24"/>
          <w:szCs w:val="24"/>
          <w:rtl/>
        </w:rPr>
        <w:t>).</w:t>
      </w:r>
    </w:p>
    <w:p w:rsidR="00FF7E1B" w:rsidRDefault="00FF7E1B" w:rsidP="00FF7E1B">
      <w:pPr>
        <w:pStyle w:val="aa"/>
        <w:spacing w:line="240" w:lineRule="auto"/>
        <w:ind w:left="360"/>
        <w:jc w:val="both"/>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בנוסף, במסגרת ההליך מונה אקטואר לערוך חוות דעת לאיזון זכויות הצדדים; ביום 3.3.21 ניתן תוקף של פס"ד להסכמות הצדדים לפיהן חו"ד האקטואר מיום 26.12.16 תאושר בתוקף של פס"ד בהתאם לחלופה הראשונה, הקובעת שלאיזון זכויות הצדדים,  על התובע להעביר לנתבעת סכום חד פעמי (מהוון) בסך של 20,347 ₪. </w:t>
      </w:r>
    </w:p>
    <w:p w:rsidR="00FF7E1B" w:rsidRDefault="00FF7E1B" w:rsidP="00FF7E1B">
      <w:pPr>
        <w:pStyle w:val="aa"/>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ביום 27.12.18 ניתן פסק דינו של ביה"ד הרבני הקובע שעל התובע  לשלם לנתבעת את  כתובתה בסך 120,000 ₪, בנוסף לסכום הקבוע בחוות דעת האקטואר .</w:t>
      </w:r>
    </w:p>
    <w:p w:rsidR="00FF7E1B" w:rsidRDefault="00FF7E1B" w:rsidP="00FF7E1B">
      <w:pPr>
        <w:pStyle w:val="aa"/>
        <w:spacing w:line="360" w:lineRule="auto"/>
        <w:ind w:left="360"/>
        <w:jc w:val="both"/>
        <w:rPr>
          <w:rFonts w:ascii="David" w:hAnsi="David" w:cs="David"/>
          <w:sz w:val="24"/>
          <w:szCs w:val="24"/>
          <w:rtl/>
        </w:rPr>
      </w:pPr>
    </w:p>
    <w:p w:rsidR="00FF7E1B" w:rsidRDefault="00FF7E1B" w:rsidP="00FF7E1B">
      <w:pPr>
        <w:pStyle w:val="aa"/>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u w:val="single"/>
          <w:rtl/>
        </w:rPr>
        <w:t xml:space="preserve">בדיון מיום 3.3.21 הגיעו הצדדים להסכמות להן ניתן תוקף של פס"ד (ראו עמוד 35-36 לפרוטוקול הדיון מיום 3.3.21) כדלקמן: </w:t>
      </w:r>
    </w:p>
    <w:p w:rsidR="00FF7E1B" w:rsidRDefault="00FF7E1B" w:rsidP="00FF7E1B">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בתביעת הרכוש - חו"ד האקטואר תאושר ויינתן לה תוקף של פסק דין בהתאם </w:t>
      </w:r>
      <w:r>
        <w:rPr>
          <w:rFonts w:ascii="David" w:hAnsi="David" w:cs="David"/>
          <w:b/>
          <w:bCs/>
          <w:sz w:val="24"/>
          <w:szCs w:val="24"/>
          <w:rtl/>
        </w:rPr>
        <w:t>לחלופה</w:t>
      </w:r>
      <w:r>
        <w:rPr>
          <w:rFonts w:ascii="David" w:hAnsi="David" w:cs="David"/>
          <w:sz w:val="24"/>
          <w:szCs w:val="24"/>
          <w:rtl/>
        </w:rPr>
        <w:t xml:space="preserve"> </w:t>
      </w:r>
      <w:r>
        <w:rPr>
          <w:rFonts w:ascii="David" w:hAnsi="David" w:cs="David"/>
          <w:b/>
          <w:bCs/>
          <w:sz w:val="24"/>
          <w:szCs w:val="24"/>
          <w:rtl/>
        </w:rPr>
        <w:t>הראשונה</w:t>
      </w:r>
      <w:r>
        <w:rPr>
          <w:rFonts w:ascii="David" w:hAnsi="David" w:cs="David"/>
          <w:sz w:val="24"/>
          <w:szCs w:val="24"/>
          <w:rtl/>
        </w:rPr>
        <w:t>.</w:t>
      </w:r>
    </w:p>
    <w:p w:rsidR="00FF7E1B" w:rsidRDefault="00FF7E1B" w:rsidP="005534D5">
      <w:pPr>
        <w:pStyle w:val="aa"/>
        <w:numPr>
          <w:ilvl w:val="0"/>
          <w:numId w:val="2"/>
        </w:numPr>
        <w:spacing w:line="360" w:lineRule="auto"/>
        <w:jc w:val="both"/>
        <w:rPr>
          <w:rFonts w:ascii="David" w:hAnsi="David" w:cs="David"/>
          <w:sz w:val="24"/>
          <w:szCs w:val="24"/>
        </w:rPr>
      </w:pPr>
      <w:r>
        <w:rPr>
          <w:rFonts w:ascii="David" w:hAnsi="David" w:cs="David"/>
          <w:sz w:val="24"/>
          <w:szCs w:val="24"/>
          <w:rtl/>
        </w:rPr>
        <w:t>הצדדים יבוא</w:t>
      </w:r>
      <w:r w:rsidR="005534D5">
        <w:rPr>
          <w:rFonts w:ascii="David" w:hAnsi="David" w:cs="David" w:hint="cs"/>
          <w:sz w:val="24"/>
          <w:szCs w:val="24"/>
          <w:rtl/>
        </w:rPr>
        <w:t>ו</w:t>
      </w:r>
      <w:r>
        <w:rPr>
          <w:rFonts w:ascii="David" w:hAnsi="David" w:cs="David"/>
          <w:sz w:val="24"/>
          <w:szCs w:val="24"/>
          <w:rtl/>
        </w:rPr>
        <w:t xml:space="preserve"> בדין ודברים לעניין </w:t>
      </w:r>
      <w:r>
        <w:rPr>
          <w:rFonts w:ascii="David" w:hAnsi="David" w:cs="David"/>
          <w:b/>
          <w:bCs/>
          <w:sz w:val="24"/>
          <w:szCs w:val="24"/>
          <w:rtl/>
        </w:rPr>
        <w:t>חלוקת המיטלטלין</w:t>
      </w:r>
      <w:r>
        <w:rPr>
          <w:rFonts w:ascii="David" w:hAnsi="David" w:cs="David"/>
          <w:sz w:val="24"/>
          <w:szCs w:val="24"/>
          <w:rtl/>
        </w:rPr>
        <w:t xml:space="preserve">, ובהעדר הסכמה תערוך הנתבעת שתי רשימות והתובע יבחר את הרשימה המועדפת. </w:t>
      </w:r>
    </w:p>
    <w:p w:rsidR="00FF7E1B" w:rsidRDefault="00FF7E1B" w:rsidP="00FF7E1B">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המחלוקת ביחס </w:t>
      </w:r>
      <w:r>
        <w:rPr>
          <w:rFonts w:ascii="David" w:hAnsi="David" w:cs="David"/>
          <w:b/>
          <w:bCs/>
          <w:sz w:val="24"/>
          <w:szCs w:val="24"/>
          <w:rtl/>
        </w:rPr>
        <w:t>לדמי השימוש</w:t>
      </w:r>
      <w:r>
        <w:rPr>
          <w:rFonts w:ascii="David" w:hAnsi="David" w:cs="David"/>
          <w:sz w:val="24"/>
          <w:szCs w:val="24"/>
          <w:rtl/>
        </w:rPr>
        <w:t xml:space="preserve"> תוכרע ע"י בית המשפט בהתאם </w:t>
      </w:r>
      <w:r>
        <w:rPr>
          <w:rFonts w:ascii="David" w:hAnsi="David" w:cs="David"/>
          <w:b/>
          <w:bCs/>
          <w:sz w:val="24"/>
          <w:szCs w:val="24"/>
          <w:rtl/>
        </w:rPr>
        <w:t>לסעיף 79א</w:t>
      </w:r>
      <w:r>
        <w:rPr>
          <w:rFonts w:ascii="David" w:hAnsi="David" w:cs="David"/>
          <w:sz w:val="24"/>
          <w:szCs w:val="24"/>
          <w:rtl/>
        </w:rPr>
        <w:t xml:space="preserve">. במסגרת ההכרעה יידרש בית המשפט לשאלת החיוב, המועד לחיוב וטענות הקיזוז להן טוענת הנתבעת ביחס להשבחות בנכס. </w:t>
      </w:r>
    </w:p>
    <w:p w:rsidR="00FF7E1B" w:rsidRDefault="00FF7E1B" w:rsidP="00FF7E1B">
      <w:pPr>
        <w:pStyle w:val="aa"/>
        <w:numPr>
          <w:ilvl w:val="0"/>
          <w:numId w:val="3"/>
        </w:numPr>
        <w:spacing w:line="360" w:lineRule="auto"/>
        <w:jc w:val="both"/>
        <w:rPr>
          <w:rFonts w:ascii="David" w:hAnsi="David" w:cs="David"/>
          <w:sz w:val="24"/>
          <w:szCs w:val="24"/>
        </w:rPr>
      </w:pPr>
      <w:r>
        <w:rPr>
          <w:rFonts w:ascii="David" w:hAnsi="David" w:cs="David"/>
          <w:sz w:val="24"/>
          <w:szCs w:val="24"/>
          <w:rtl/>
        </w:rPr>
        <w:t>הנתבעת תחזור בה מכל הטענות אותן העלתה במסגרת התביעה הרכושית שעניינן קיזוז בעבור חוב מזונות  ו/או הלוואה לאביה, וזאת מבלי להודות בכל טענה מטענותיה  מבלי לפגוע בזכותו של אביה להגיש תביעה נפרדת לעניין זה.</w:t>
      </w:r>
    </w:p>
    <w:p w:rsidR="00FF7E1B" w:rsidRDefault="00FF7E1B" w:rsidP="00FF7E1B">
      <w:pPr>
        <w:pStyle w:val="aa"/>
        <w:numPr>
          <w:ilvl w:val="0"/>
          <w:numId w:val="3"/>
        </w:numPr>
        <w:spacing w:line="360" w:lineRule="auto"/>
        <w:jc w:val="both"/>
        <w:rPr>
          <w:rFonts w:ascii="David" w:hAnsi="David" w:cs="David"/>
          <w:sz w:val="24"/>
          <w:szCs w:val="24"/>
          <w:rtl/>
        </w:rPr>
      </w:pPr>
      <w:r>
        <w:rPr>
          <w:rFonts w:ascii="David" w:hAnsi="David" w:cs="David"/>
          <w:sz w:val="24"/>
          <w:szCs w:val="24"/>
          <w:rtl/>
        </w:rPr>
        <w:t xml:space="preserve">בהתאם לפסק הדין של כב' השופט סילמן מיום 2/4/20, הנתבע ישלם לנתבעת סך של 35,000 ₪ עבור </w:t>
      </w:r>
      <w:r>
        <w:rPr>
          <w:rFonts w:ascii="David" w:hAnsi="David" w:cs="David"/>
          <w:b/>
          <w:bCs/>
          <w:sz w:val="24"/>
          <w:szCs w:val="24"/>
          <w:rtl/>
        </w:rPr>
        <w:t>הלוואת הדודה</w:t>
      </w:r>
      <w:r>
        <w:rPr>
          <w:rFonts w:ascii="David" w:hAnsi="David" w:cs="David"/>
          <w:sz w:val="24"/>
          <w:szCs w:val="24"/>
          <w:rtl/>
        </w:rPr>
        <w:t>. סכום זה יקוזז מחלקו בנכס ויועבר לדודה ע"י הנתבעת</w:t>
      </w:r>
      <w:r>
        <w:rPr>
          <w:rFonts w:ascii="David" w:hAnsi="David" w:cs="David"/>
          <w:b/>
          <w:bCs/>
          <w:sz w:val="24"/>
          <w:szCs w:val="24"/>
          <w:rtl/>
        </w:rPr>
        <w:t xml:space="preserve">. </w:t>
      </w:r>
      <w:r>
        <w:rPr>
          <w:rFonts w:ascii="David" w:hAnsi="David" w:cs="David"/>
          <w:sz w:val="24"/>
          <w:szCs w:val="24"/>
          <w:rtl/>
        </w:rPr>
        <w:t xml:space="preserve"> ככל ולא תעשה כן הנתבעת, ובאם תוגש כנגד התובע כל תביעה או יחויב בכל סכום על חשבון סכום זה, תהא לו זכות שיפוי כנגד הנתבעת תוך 7 ימים. </w:t>
      </w:r>
    </w:p>
    <w:p w:rsidR="00FF7E1B" w:rsidRDefault="00FF7E1B" w:rsidP="00FF7E1B">
      <w:pPr>
        <w:pStyle w:val="aa"/>
        <w:numPr>
          <w:ilvl w:val="0"/>
          <w:numId w:val="3"/>
        </w:numPr>
        <w:spacing w:line="360" w:lineRule="auto"/>
        <w:jc w:val="both"/>
        <w:rPr>
          <w:rFonts w:ascii="David" w:hAnsi="David" w:cs="David"/>
          <w:sz w:val="24"/>
          <w:szCs w:val="24"/>
        </w:rPr>
      </w:pPr>
      <w:r>
        <w:rPr>
          <w:rFonts w:ascii="David" w:hAnsi="David" w:cs="David"/>
          <w:sz w:val="24"/>
          <w:szCs w:val="24"/>
          <w:rtl/>
        </w:rPr>
        <w:t>לעניין</w:t>
      </w:r>
      <w:r>
        <w:rPr>
          <w:rFonts w:ascii="David" w:hAnsi="David" w:cs="David"/>
          <w:b/>
          <w:bCs/>
          <w:sz w:val="24"/>
          <w:szCs w:val="24"/>
          <w:rtl/>
        </w:rPr>
        <w:t xml:space="preserve"> תביעת המזונות </w:t>
      </w:r>
      <w:r>
        <w:rPr>
          <w:rFonts w:ascii="David" w:hAnsi="David" w:cs="David"/>
          <w:sz w:val="24"/>
          <w:szCs w:val="24"/>
          <w:rtl/>
        </w:rPr>
        <w:t>המתבררת בתיק 30328-07-16 ובה לא הוגש כתב הגנה, נקבע כדלקמן:</w:t>
      </w:r>
    </w:p>
    <w:p w:rsidR="00FF7E1B" w:rsidRDefault="00FF7E1B" w:rsidP="00FF7E1B">
      <w:pPr>
        <w:pStyle w:val="aa"/>
        <w:spacing w:line="360" w:lineRule="auto"/>
        <w:jc w:val="both"/>
        <w:rPr>
          <w:rFonts w:ascii="David" w:hAnsi="David" w:cs="David"/>
          <w:sz w:val="24"/>
          <w:szCs w:val="24"/>
        </w:rPr>
      </w:pPr>
      <w:r>
        <w:rPr>
          <w:rFonts w:ascii="David" w:hAnsi="David" w:cs="David"/>
          <w:sz w:val="24"/>
          <w:szCs w:val="24"/>
          <w:rtl/>
        </w:rPr>
        <w:t xml:space="preserve">"הגענו להסכמה ולפיה יינתן צו גילוי מסמכים הדדי תוך שנפרט לפרוטוקול כל צד איזה מסמכים מבקש לקבל ואלה יומצאו באופן הדדי תוך 14 ימים מהיום ובית המשפט ייתן פסק דין בתביעה זו על סמך הסיכומים שיוגשו במאוחד עם התביעה הרכושית, כפסק דין  מנומק (בשאלת המזונות בלבד). </w:t>
      </w:r>
      <w:r>
        <w:rPr>
          <w:rFonts w:ascii="David" w:hAnsi="David" w:cs="David"/>
          <w:b/>
          <w:bCs/>
          <w:sz w:val="24"/>
          <w:szCs w:val="24"/>
          <w:u w:val="single"/>
          <w:rtl/>
        </w:rPr>
        <w:t>מוסכם כי התביעה תוגדר כתביעה להגדלת מזונות</w:t>
      </w:r>
      <w:r>
        <w:rPr>
          <w:rFonts w:ascii="David" w:hAnsi="David" w:cs="David"/>
          <w:sz w:val="24"/>
          <w:szCs w:val="24"/>
          <w:rtl/>
        </w:rPr>
        <w:t xml:space="preserve"> ולא לפסיקת מזונות.</w:t>
      </w:r>
      <w:r>
        <w:rPr>
          <w:rtl/>
        </w:rPr>
        <w:t xml:space="preserve"> </w:t>
      </w:r>
      <w:r>
        <w:rPr>
          <w:rFonts w:ascii="David" w:hAnsi="David" w:cs="David"/>
          <w:sz w:val="24"/>
          <w:szCs w:val="24"/>
          <w:rtl/>
        </w:rPr>
        <w:t xml:space="preserve">עוד מוסכם כי כיום ייחקרו שני הצדדים לעניין זמני השהות המתקיימים עם כל צד והקטינים, כמו גם הכנסות הצדדים." (ההדגשה אינה במקור, ל.ד-ח). </w:t>
      </w:r>
    </w:p>
    <w:p w:rsidR="00FF7E1B" w:rsidRDefault="00FF7E1B" w:rsidP="00FF7E1B">
      <w:pPr>
        <w:pStyle w:val="aa"/>
        <w:spacing w:line="240" w:lineRule="auto"/>
        <w:jc w:val="both"/>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מכאן, עומדות להכרעתי המחלוקות הבאות; תביעת התובע לחיוב הנתבעת בדמי שימוש ראויים שתוכרע על פי הסכמת הצדדים בהתאם לסעיף 79א לחוק בתי המשפט, ותביעת הנתבעת להגדלת דמי המזונות. אציין שבהתאם להסכמת הצדדים, הנתבעת הגישה סיכומיה ראשונה, ומכאן, יובאו עיקר הטענות בהתאם (ראה החלטה מיום 3.3.21). </w:t>
      </w:r>
    </w:p>
    <w:p w:rsidR="00FF7E1B" w:rsidRDefault="00FF7E1B" w:rsidP="00FF7E1B">
      <w:pPr>
        <w:pStyle w:val="aa"/>
        <w:spacing w:line="240" w:lineRule="auto"/>
        <w:ind w:left="360"/>
        <w:jc w:val="both"/>
        <w:rPr>
          <w:rFonts w:ascii="David" w:hAnsi="David" w:cs="David"/>
          <w:sz w:val="24"/>
          <w:szCs w:val="24"/>
          <w:u w:val="single"/>
        </w:rPr>
      </w:pPr>
    </w:p>
    <w:p w:rsidR="00FF7E1B" w:rsidRDefault="00FF7E1B" w:rsidP="00FF7E1B">
      <w:pPr>
        <w:pStyle w:val="aa"/>
        <w:spacing w:line="360" w:lineRule="auto"/>
        <w:ind w:left="0"/>
        <w:jc w:val="both"/>
        <w:rPr>
          <w:rFonts w:ascii="David" w:hAnsi="David" w:cs="David"/>
          <w:b/>
          <w:bCs/>
          <w:sz w:val="32"/>
          <w:szCs w:val="32"/>
          <w:u w:val="single"/>
          <w:rtl/>
        </w:rPr>
      </w:pPr>
      <w:r>
        <w:rPr>
          <w:rFonts w:ascii="David" w:hAnsi="David" w:cs="David"/>
          <w:b/>
          <w:bCs/>
          <w:sz w:val="32"/>
          <w:szCs w:val="32"/>
          <w:u w:val="single"/>
          <w:rtl/>
        </w:rPr>
        <w:t xml:space="preserve">עיקר טענות הצדדים במחלוקות לפניי; </w:t>
      </w:r>
    </w:p>
    <w:p w:rsidR="00FF7E1B" w:rsidRDefault="00FF7E1B" w:rsidP="00FF7E1B">
      <w:pPr>
        <w:pStyle w:val="aa"/>
        <w:spacing w:line="240" w:lineRule="auto"/>
        <w:ind w:left="360"/>
        <w:jc w:val="both"/>
        <w:rPr>
          <w:rFonts w:ascii="David" w:hAnsi="David" w:cs="David"/>
          <w:sz w:val="24"/>
          <w:szCs w:val="24"/>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b/>
          <w:bCs/>
          <w:sz w:val="24"/>
          <w:szCs w:val="24"/>
          <w:rtl/>
        </w:rPr>
        <w:t>לטענות הנתבעת,</w:t>
      </w:r>
      <w:r>
        <w:rPr>
          <w:rFonts w:ascii="David" w:hAnsi="David" w:cs="David"/>
          <w:sz w:val="24"/>
          <w:szCs w:val="24"/>
          <w:rtl/>
        </w:rPr>
        <w:t xml:space="preserve"> התובע אינו זכאי לקבל </w:t>
      </w:r>
      <w:r>
        <w:rPr>
          <w:rFonts w:ascii="David" w:hAnsi="David" w:cs="David"/>
          <w:b/>
          <w:bCs/>
          <w:sz w:val="24"/>
          <w:szCs w:val="24"/>
          <w:rtl/>
        </w:rPr>
        <w:t xml:space="preserve">דמי שימוש </w:t>
      </w:r>
      <w:r>
        <w:rPr>
          <w:rFonts w:ascii="David" w:hAnsi="David" w:cs="David"/>
          <w:sz w:val="24"/>
          <w:szCs w:val="24"/>
          <w:rtl/>
        </w:rPr>
        <w:t xml:space="preserve">עבור הנכס שכן שווי הנכס  על פי חוות דעת שמאי הינו 1,160,000 ₪, ויוצא שמלוא ההון העצמי התקבל באמצעות הלוואות מבני </w:t>
      </w:r>
      <w:r>
        <w:rPr>
          <w:rFonts w:ascii="David" w:hAnsi="David" w:cs="David"/>
          <w:sz w:val="24"/>
          <w:szCs w:val="24"/>
          <w:rtl/>
        </w:rPr>
        <w:lastRenderedPageBreak/>
        <w:t>משפחתה, ורק כך הצליחו לרכוש אותו</w:t>
      </w:r>
      <w:r>
        <w:rPr>
          <w:rFonts w:ascii="David" w:hAnsi="David" w:cs="David"/>
          <w:b/>
          <w:bCs/>
          <w:sz w:val="24"/>
          <w:szCs w:val="24"/>
          <w:rtl/>
        </w:rPr>
        <w:t xml:space="preserve">. </w:t>
      </w:r>
      <w:r>
        <w:rPr>
          <w:rFonts w:ascii="David" w:hAnsi="David" w:cs="David"/>
          <w:sz w:val="24"/>
          <w:szCs w:val="24"/>
          <w:rtl/>
        </w:rPr>
        <w:t xml:space="preserve">לולא הלוואות אלה, היו נאלצים לשאת בדמי שכירות עד היום, אותם אומדת בסך של 400,000 ₪, סכום העולה פי 5 מדמי השימוש עבור הדירה. כך גם  נחסכו מהתובע ריביות גבוהות ככל והצדדים היו נוטלים הלוואה למימון הרכישה. </w:t>
      </w:r>
    </w:p>
    <w:p w:rsidR="00FF7E1B" w:rsidRDefault="00FF7E1B" w:rsidP="00FF7E1B">
      <w:pPr>
        <w:pStyle w:val="aa"/>
        <w:spacing w:line="240" w:lineRule="auto"/>
        <w:ind w:left="360"/>
        <w:jc w:val="both"/>
        <w:rPr>
          <w:rFonts w:ascii="David" w:hAnsi="David" w:cs="David"/>
          <w:sz w:val="24"/>
          <w:szCs w:val="24"/>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כך גם התובע אינו זכאי לקבל</w:t>
      </w:r>
      <w:r>
        <w:rPr>
          <w:rFonts w:ascii="David" w:hAnsi="David" w:cs="David"/>
          <w:b/>
          <w:bCs/>
          <w:sz w:val="24"/>
          <w:szCs w:val="24"/>
          <w:rtl/>
        </w:rPr>
        <w:t xml:space="preserve"> דמי שימוש עבור יחידת הדיור </w:t>
      </w:r>
      <w:r>
        <w:rPr>
          <w:rFonts w:ascii="David" w:hAnsi="David" w:cs="David"/>
          <w:sz w:val="24"/>
          <w:szCs w:val="24"/>
          <w:rtl/>
        </w:rPr>
        <w:t>שכן זו</w:t>
      </w:r>
      <w:r>
        <w:rPr>
          <w:rFonts w:ascii="David" w:hAnsi="David" w:cs="David"/>
          <w:b/>
          <w:bCs/>
          <w:sz w:val="24"/>
          <w:szCs w:val="24"/>
          <w:rtl/>
        </w:rPr>
        <w:t xml:space="preserve"> </w:t>
      </w:r>
      <w:r>
        <w:rPr>
          <w:rFonts w:ascii="David" w:hAnsi="David" w:cs="David"/>
          <w:sz w:val="24"/>
          <w:szCs w:val="24"/>
          <w:rtl/>
        </w:rPr>
        <w:t xml:space="preserve">שימשה כחדר משחקים מוזנח, ויש להתייחס אליה כמחסן בקביעת דמי השימוש, שתמורת השכרתה יתקבלו מאות שקלים בודדות. הצדדים החליטו להשמיש את היחידה למגורים 4 חודשים לפני עזיבת התובע את הבית, אז עשו שיפוץ גדול בעלות כוללת של 45,000 ₪. מאז עזיבת התובע, נעשו לאורך השנים שיפוצים קוסמטיים קטנים, תיקונים שונים ורכישת מוצרים שונים, בעלותם לא נשא. כך גם לא נשא בעלויות התחזוקה, ויש לקזז שכר ראוי על ניהול היחידה, שבוצע על ידה, כאילו הייתה חברת ניהול נדל"ן; זאת ועוד, בניגוד לדמי השימוש שקבע השמאי, דמי השכירות שהתקבלו כללו גם  ארנונה, חשמל, מים וכבלים אותם היא שילמה, ולכן יש לקבוע את דמי השימוש עבור היחידה בסך 1,400 ₪. עוד מציינת  שנדרשה לשיפוץ נוסף ביחידה בעלות של  10,000 ₪, בה נשאה לבדה, וכל הרווחים מההשכרה הושקעו בשיפוץ. בנוסף, בשנת 2019 ערכה ביחידה שיפוץ משמעותי נוסף אותו יש לקזז מחלקו של התובע; כן יש לקזז מחלקו את ההמחאות שלא הופקדו עבור דמי שכירות, לאחר שאלה נעלמו על ידי התובע, עת  היה אמון עליהן, ואת החודשים בהם היחידה לא הושכרה. בנוסף, התובע הבריח כספים וגם אותם יש לקזז. </w:t>
      </w:r>
    </w:p>
    <w:p w:rsidR="00FF7E1B" w:rsidRDefault="00FF7E1B" w:rsidP="00FF7E1B">
      <w:pPr>
        <w:pStyle w:val="aa"/>
        <w:spacing w:line="240" w:lineRule="auto"/>
        <w:ind w:left="360"/>
        <w:jc w:val="both"/>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לעניין מועד הזכאות לדמי השימוש</w:t>
      </w:r>
      <w:r>
        <w:rPr>
          <w:rFonts w:ascii="David" w:hAnsi="David" w:cs="David"/>
          <w:b/>
          <w:bCs/>
          <w:sz w:val="24"/>
          <w:szCs w:val="24"/>
          <w:rtl/>
        </w:rPr>
        <w:t xml:space="preserve"> </w:t>
      </w:r>
      <w:r>
        <w:rPr>
          <w:rFonts w:ascii="David" w:hAnsi="David" w:cs="David"/>
          <w:sz w:val="24"/>
          <w:szCs w:val="24"/>
          <w:rtl/>
        </w:rPr>
        <w:t>גורסת</w:t>
      </w:r>
      <w:r>
        <w:rPr>
          <w:rFonts w:ascii="David" w:hAnsi="David" w:cs="David"/>
          <w:b/>
          <w:bCs/>
          <w:sz w:val="24"/>
          <w:szCs w:val="24"/>
          <w:rtl/>
        </w:rPr>
        <w:t xml:space="preserve"> </w:t>
      </w:r>
      <w:r>
        <w:rPr>
          <w:rFonts w:ascii="David" w:hAnsi="David" w:cs="David"/>
          <w:sz w:val="24"/>
          <w:szCs w:val="24"/>
          <w:rtl/>
        </w:rPr>
        <w:t xml:space="preserve">שהתובע עזב את דירת הצדדים בספטמבר 2014 מרצונו ובפתאומיות, ואף לא היה מוכן להתגורר ביחידת הדיור כהצעתה, וכפי שהוכח בבדיקת הפוליגרף מטעם ביה"ד הרבני. טענתו ולפיה נאלץ לעזוב הבית כבר נדחתה בפס"ד שניתן ע"י ביה"ד הרבני ביום 27.12.18. על כן, לכל היותר התובע זכאי לדמי שימוש ביחס לתקופה שהחל מיום הגט, 12.2.17 ועד למועד מתן פסה"ד של ביהמ"ש המחוזי, ביום 2.4.20. </w:t>
      </w:r>
    </w:p>
    <w:p w:rsidR="00FF7E1B" w:rsidRDefault="00FF7E1B" w:rsidP="00FF7E1B">
      <w:pPr>
        <w:pStyle w:val="aa"/>
        <w:spacing w:line="240" w:lineRule="auto"/>
        <w:ind w:left="360"/>
        <w:jc w:val="both"/>
        <w:rPr>
          <w:rFonts w:ascii="David" w:hAnsi="David" w:cs="David"/>
          <w:sz w:val="24"/>
          <w:szCs w:val="24"/>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תביעת </w:t>
      </w:r>
      <w:r>
        <w:rPr>
          <w:rFonts w:ascii="David" w:hAnsi="David" w:cs="David"/>
          <w:b/>
          <w:bCs/>
          <w:sz w:val="24"/>
          <w:szCs w:val="24"/>
          <w:rtl/>
        </w:rPr>
        <w:t>המזונות</w:t>
      </w:r>
      <w:r>
        <w:rPr>
          <w:rFonts w:ascii="David" w:hAnsi="David" w:cs="David"/>
          <w:sz w:val="24"/>
          <w:szCs w:val="24"/>
          <w:rtl/>
        </w:rPr>
        <w:t xml:space="preserve"> טוענת</w:t>
      </w:r>
      <w:r>
        <w:rPr>
          <w:rFonts w:ascii="David" w:hAnsi="David" w:cs="David"/>
          <w:b/>
          <w:bCs/>
          <w:sz w:val="24"/>
          <w:szCs w:val="24"/>
          <w:rtl/>
        </w:rPr>
        <w:t xml:space="preserve"> </w:t>
      </w:r>
      <w:r>
        <w:rPr>
          <w:rFonts w:ascii="David" w:hAnsi="David" w:cs="David"/>
          <w:sz w:val="24"/>
          <w:szCs w:val="24"/>
          <w:rtl/>
        </w:rPr>
        <w:t>שחרף הסכמתה לשינוי שם התביעה לתביעה להגדלת מזונות, המזונות מעולם לא נידונו, ועל כן המדובר בתביעה עצמאית; דמי המזונות שהועברו ע"י התובע בסך 2,000 ₪ היו נמוכים מהמינימום, ומשכך המדובר בתביעה לשינוי דמי המזונות ולא להגדלתם, ויש להקל בתנאים הדרושים להוכחתה. כך גם, דמי המזונות ששילם התובע  קוזזו לטובת הלוואת הדודה ולכן חב במזונות אלה.</w:t>
      </w:r>
      <w:r>
        <w:rPr>
          <w:rFonts w:ascii="David" w:hAnsi="David" w:cs="David"/>
          <w:color w:val="FF0000"/>
          <w:sz w:val="24"/>
          <w:szCs w:val="24"/>
          <w:rtl/>
        </w:rPr>
        <w:t xml:space="preserve"> </w:t>
      </w:r>
    </w:p>
    <w:p w:rsidR="00FF7E1B" w:rsidRDefault="00FF7E1B" w:rsidP="00FF7E1B">
      <w:pPr>
        <w:tabs>
          <w:tab w:val="left" w:pos="3734"/>
        </w:tabs>
        <w:jc w:val="both"/>
        <w:rPr>
          <w:rFonts w:ascii="David" w:hAnsi="David"/>
        </w:rPr>
      </w:pPr>
      <w:r>
        <w:rPr>
          <w:rFonts w:ascii="David" w:hAnsi="David"/>
          <w:rtl/>
        </w:rPr>
        <w:tab/>
      </w: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הנתבעת מתארת שעקב הטראומה שעברה בפרידה, ההשפלה במקום עבודתה והסבל הנפשי, הסכימה למשמורת משותפת, אולם, כבר מחודש יוני 2017 זו לא התקיימה, וביתן העיקרי של הבנות היה ביתה. לכן, בראשית 2019 מתוך כוונה להגיע להבנות על גובה המזונות, פתחה בהליך י"ס. משלא צלחו הצדדים להגיע להסכמות, ההליך נסגר בחודש 09/19. </w:t>
      </w:r>
    </w:p>
    <w:p w:rsidR="00FF7E1B" w:rsidRDefault="00FF7E1B" w:rsidP="00FF7E1B">
      <w:pPr>
        <w:pStyle w:val="aa"/>
        <w:rPr>
          <w:rFonts w:ascii="David" w:hAnsi="David" w:cs="David"/>
          <w:sz w:val="24"/>
          <w:szCs w:val="24"/>
          <w:rtl/>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lastRenderedPageBreak/>
        <w:t>עוד טוענת לפערי השתכרות בין הצדדים; לדידה,  עד חודש 10/19  הייתה זכאית לדמי אבטלה בסך 6,000 ₪ בחודש, והחל ממועד זה עמדה לה זכאות  להבטחת הכנסה ע"ס 2,500 ₪ בחודש. לאחרונה, שיפצה והפכה את יחידת הדיור לעסק, אך הקורונה עיכבה את הפעלתו וכעת היא נעדרת כל הכנסה. משך כל החודשים האחרונים התקיימה מקצבת מל"ל, הלוואות מאביה ומתשלום שקיבלה מ- 3 מטופלות. לעומת זאת, הכנסתו של התובע גבוהה שכן עובד כמטפל שכיר ומשתכר שכר חודשי בסך  7,000 ₪, וכן עובד כעצמאי ומשתכר בשכר חודשי של  5,000 ₪. בנוסף להכנסתו מעבודה, זכאי לקבל דמי שכירות עבור דירה שבבעלותו בחו"ל בסך של 1,300 ₪ לחודש. מכאן, הכנסתו החודשית הממוצעת הינה 13,300 ₪. מעבר לכך, את הכנסותיו המתקבלות במזומן לא ניתן להעריך בוודאות, ודומה שאלה גבוהות בפועל מזו שמצהיר.</w:t>
      </w:r>
      <w:r>
        <w:rPr>
          <w:rFonts w:ascii="David" w:hAnsi="David" w:cs="David"/>
          <w:color w:val="FF0000"/>
          <w:sz w:val="24"/>
          <w:szCs w:val="24"/>
          <w:rtl/>
        </w:rPr>
        <w:t xml:space="preserve"> </w:t>
      </w:r>
      <w:r>
        <w:rPr>
          <w:rFonts w:ascii="David" w:hAnsi="David" w:cs="David"/>
          <w:sz w:val="24"/>
          <w:szCs w:val="24"/>
          <w:rtl/>
        </w:rPr>
        <w:t>כך גם לאחרונה קיבל</w:t>
      </w:r>
      <w:r>
        <w:rPr>
          <w:rFonts w:ascii="David" w:hAnsi="David" w:cs="David"/>
          <w:color w:val="FF0000"/>
          <w:sz w:val="24"/>
          <w:szCs w:val="24"/>
          <w:rtl/>
        </w:rPr>
        <w:t xml:space="preserve"> </w:t>
      </w:r>
      <w:r>
        <w:rPr>
          <w:rFonts w:ascii="David" w:hAnsi="David" w:cs="David"/>
          <w:sz w:val="24"/>
          <w:szCs w:val="24"/>
          <w:rtl/>
        </w:rPr>
        <w:t>ממכירת דירתו ב</w:t>
      </w:r>
      <w:r w:rsidR="005534D5">
        <w:rPr>
          <w:rFonts w:ascii="David" w:hAnsi="David" w:cs="David" w:hint="cs"/>
          <w:sz w:val="24"/>
          <w:szCs w:val="24"/>
          <w:rtl/>
        </w:rPr>
        <w:t xml:space="preserve">*** </w:t>
      </w:r>
      <w:r>
        <w:rPr>
          <w:rFonts w:ascii="David" w:hAnsi="David" w:cs="David"/>
          <w:sz w:val="24"/>
          <w:szCs w:val="24"/>
          <w:rtl/>
        </w:rPr>
        <w:t xml:space="preserve">43,000 דולר וממכירת הדירה המשותפת  227,000 ₪, ובידיו פיקדונות ע"ס 380,000 ₪. </w:t>
      </w:r>
    </w:p>
    <w:p w:rsidR="00FF7E1B" w:rsidRDefault="00FF7E1B" w:rsidP="00FF7E1B">
      <w:pPr>
        <w:pStyle w:val="aa"/>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לצד כל האמור, נושא התובע בשכ"ד נמוכים בסך 1,800 ₪ בלבד והוצאותיו החודשיות בכרטיס  האשראי מסתכמות בסך נמוך של 5,000 ₪ כעולה מדפי החשבון שצירף. וחרף זאת, היא דואגת לכל הדרוש לילדים ורוכשת עבורם ביגוד, הנעלה, קוסמטיקה ומוצרים שונים. כן, היא נושאת בעלויות מדור גבוהות יותר מהתובע, וצפויה לשלם החזר חודשי הגבוה פי 3 מההחזר ששולם עד כה, לאחר שתיקח משכנתא חדשה, שכן עד כה אביה משלם הלוואת גישור אותה נטל על מנת שתוכל שלם לתובע את חלקו בדירה. </w:t>
      </w:r>
    </w:p>
    <w:p w:rsidR="00FF7E1B" w:rsidRDefault="00FF7E1B" w:rsidP="00FF7E1B">
      <w:pPr>
        <w:pStyle w:val="aa"/>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מכל האמור סבורה שיש לחייב את התובע  בסך 1,500 ₪  עבור דמי מזונות לכל אחת מהבנות, הכולל את עלות המדור, וזאת החל מחודש 06/2017 ועד הגיען לסיום הלימודים או גיל בגרות, הגבוה מהשניים. כמו כן, יש לחייבו לשאת במלוא הוצאותיהן החינוכיות ורפואיות החריגות.</w:t>
      </w:r>
    </w:p>
    <w:p w:rsidR="00FF7E1B" w:rsidRDefault="00FF7E1B" w:rsidP="00FF7E1B">
      <w:pPr>
        <w:pStyle w:val="aa"/>
        <w:spacing w:line="240" w:lineRule="auto"/>
        <w:rPr>
          <w:rFonts w:ascii="David" w:hAnsi="David" w:cs="David"/>
          <w:sz w:val="24"/>
          <w:szCs w:val="24"/>
        </w:rPr>
      </w:pPr>
    </w:p>
    <w:p w:rsidR="00FF7E1B" w:rsidRDefault="00FF7E1B" w:rsidP="005534D5">
      <w:pPr>
        <w:pStyle w:val="aa"/>
        <w:numPr>
          <w:ilvl w:val="0"/>
          <w:numId w:val="1"/>
        </w:numPr>
        <w:spacing w:line="360" w:lineRule="auto"/>
        <w:jc w:val="both"/>
        <w:rPr>
          <w:rFonts w:ascii="David" w:hAnsi="David" w:cs="David"/>
          <w:sz w:val="24"/>
          <w:szCs w:val="24"/>
          <w:rtl/>
        </w:rPr>
      </w:pPr>
      <w:r>
        <w:rPr>
          <w:rFonts w:ascii="David" w:hAnsi="David" w:cs="David"/>
          <w:b/>
          <w:bCs/>
          <w:sz w:val="24"/>
          <w:szCs w:val="24"/>
          <w:u w:val="single"/>
          <w:rtl/>
        </w:rPr>
        <w:t>לטענות התובע</w:t>
      </w:r>
      <w:r>
        <w:rPr>
          <w:rFonts w:ascii="David" w:hAnsi="David" w:cs="David"/>
          <w:sz w:val="24"/>
          <w:szCs w:val="24"/>
          <w:rtl/>
        </w:rPr>
        <w:t xml:space="preserve"> </w:t>
      </w:r>
      <w:r>
        <w:rPr>
          <w:rFonts w:ascii="David" w:hAnsi="David" w:cs="David"/>
          <w:b/>
          <w:bCs/>
          <w:sz w:val="24"/>
          <w:szCs w:val="24"/>
          <w:rtl/>
        </w:rPr>
        <w:t>לעניין דמי השימוש</w:t>
      </w:r>
      <w:r>
        <w:rPr>
          <w:rFonts w:ascii="David" w:hAnsi="David" w:cs="David"/>
          <w:sz w:val="24"/>
          <w:szCs w:val="24"/>
          <w:rtl/>
        </w:rPr>
        <w:t xml:space="preserve">, הצדדים אינם מתגוררים יחד מחודש 09/2014 וצו פירוק השיתוף ניתן כבר ביום 26.12.16. חרף זאת , רק בחודש 05/2020 העבירה לידיו הנתבעת את מלוא התמורה עבור רכישת חלקו בנכס. במשך כ- 6 שנים גררה את הליך פירוק השיתוף תוך שגלגלה לכיסה את דמי השכירות מיחידת הדיור ע"ס 2,000 ₪ לחודש. משך כל הזמן, הוא שילם מכיסו דמי שכירות עבור דירה בת 3 חדרים. מאז ההחלטה על משמורת משותפת שניתנה ביום 1.3.17,  שני הילדים הגדולים התגוררו בדירתו, ועם הקטינה התקיימו זמני שהות. בתי המשפט השונים והמותבים השונים ראו את ניסיונות הנתבעת למשוך את הזמן ולעכב את ההליכים, ומפנה להחלטות מיום 8.1.17, 25.1.17, 7.3.19, 8.5.19, 14.5.19, 22.10.19, 22.12.19 12.1.20. לאור התנהלות הנתבעת, המתין 6 שנים לקבלת חלקו בדירה. </w:t>
      </w:r>
    </w:p>
    <w:p w:rsidR="00FF7E1B" w:rsidRDefault="00FF7E1B" w:rsidP="00FF7E1B">
      <w:pPr>
        <w:pStyle w:val="aa"/>
        <w:rPr>
          <w:rFonts w:ascii="David" w:hAnsi="David" w:cs="David"/>
          <w:sz w:val="24"/>
          <w:szCs w:val="24"/>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לטענתו,</w:t>
      </w:r>
      <w:r w:rsidR="005534D5">
        <w:rPr>
          <w:rFonts w:ascii="David" w:hAnsi="David" w:cs="David" w:hint="cs"/>
          <w:sz w:val="24"/>
          <w:szCs w:val="24"/>
          <w:rtl/>
        </w:rPr>
        <w:t xml:space="preserve"> </w:t>
      </w:r>
      <w:r>
        <w:rPr>
          <w:rFonts w:ascii="David" w:hAnsi="David" w:cs="David"/>
          <w:sz w:val="24"/>
          <w:szCs w:val="24"/>
          <w:rtl/>
        </w:rPr>
        <w:t xml:space="preserve">אין בהלוואת הדודה כדי להפקיע את זכותו לדמי שימוש, מה גם שפרע חלקו בהלוואה; כמו כן, הכספים שקיבלו מהלוואות בני משפחת הנתבעת לא הספיקו לרכישת דירה, ולכן נטלו משכנתא; במשך 9 השנים בהן חיו יחד, הנתבעת לא עבדה כלל ורק העשירה את </w:t>
      </w:r>
      <w:r>
        <w:rPr>
          <w:rFonts w:ascii="David" w:hAnsi="David" w:cs="David"/>
          <w:sz w:val="24"/>
          <w:szCs w:val="24"/>
          <w:rtl/>
        </w:rPr>
        <w:lastRenderedPageBreak/>
        <w:t>השכלתה בעוד הוא נשא בנטל כלכלת המשפחה לבדו, לרבות בהחזרי המשכנתא. טענותיה של הנתבעת להעלמת שכר מצדו, אינן רלוונטיות לזכאותו לדמי שימוש, מה גם שטענות אלה נבחנו ע"י האקטואר וזה קבע שלא מצא כל הברחת כספים מצדו; גם על פי תוצאות בדיקת פוליגרף יצא דובר אמת לעניין זה.</w:t>
      </w:r>
    </w:p>
    <w:p w:rsidR="005534D5" w:rsidRDefault="005534D5" w:rsidP="005534D5">
      <w:pPr>
        <w:pStyle w:val="aa"/>
        <w:spacing w:line="360" w:lineRule="auto"/>
        <w:ind w:left="360"/>
        <w:jc w:val="both"/>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w:t>
      </w:r>
      <w:r>
        <w:rPr>
          <w:rFonts w:ascii="David" w:hAnsi="David" w:cs="David"/>
          <w:b/>
          <w:bCs/>
          <w:sz w:val="24"/>
          <w:szCs w:val="24"/>
          <w:rtl/>
        </w:rPr>
        <w:t>גובה דמי השימוש</w:t>
      </w:r>
      <w:r>
        <w:rPr>
          <w:rFonts w:ascii="David" w:hAnsi="David" w:cs="David"/>
          <w:sz w:val="24"/>
          <w:szCs w:val="24"/>
          <w:rtl/>
        </w:rPr>
        <w:t xml:space="preserve"> טוען שאלה הוערכו ע"י השמאי בסך 2,000 ₪, בהתאם להסכמי השכירות שהציגה בפניו הנתבעת וסקר שוק שערך; יש לדחות את הנתבעת ולפיה היחידה משמשת כמחסן, שכן הותאמה למגורים בטרם הפרידה, ואת עלות העבודה שילמו מכספים ומשאבים משותפים. כך גם הנתבעת לא הציגה כל ראיה להוכחת טענתה ולפיה דמי השכירות כללו תשלומי מיסים שונים. </w:t>
      </w:r>
    </w:p>
    <w:p w:rsidR="00FF7E1B" w:rsidRDefault="00FF7E1B" w:rsidP="00FF7E1B">
      <w:pPr>
        <w:pStyle w:val="aa"/>
        <w:spacing w:line="240" w:lineRule="auto"/>
        <w:rPr>
          <w:rFonts w:ascii="David" w:hAnsi="David" w:cs="David"/>
          <w:sz w:val="24"/>
          <w:szCs w:val="24"/>
          <w:rtl/>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 xml:space="preserve">מועד זכאותו לקבלת דמי שימוש, </w:t>
      </w:r>
      <w:r>
        <w:rPr>
          <w:rFonts w:ascii="David" w:hAnsi="David" w:cs="David"/>
          <w:sz w:val="24"/>
          <w:szCs w:val="24"/>
          <w:rtl/>
        </w:rPr>
        <w:t>טוען שיש לחייב את הנתבעת החל מיום עזיבתו את הבית (30.9.14) ועד למועד קבלת חלקו ממכירת הדירה (20.5.20), קרי 140 חודשים במכפלת דמי השימוש אותם קבע השמאי, ובסה"כ  399,000 ₪,</w:t>
      </w:r>
      <w:r w:rsidR="005534D5">
        <w:rPr>
          <w:rFonts w:ascii="David" w:hAnsi="David" w:cs="David" w:hint="cs"/>
          <w:sz w:val="24"/>
          <w:szCs w:val="24"/>
          <w:rtl/>
        </w:rPr>
        <w:t xml:space="preserve"> </w:t>
      </w:r>
      <w:r>
        <w:rPr>
          <w:rFonts w:ascii="David" w:hAnsi="David" w:cs="David"/>
          <w:sz w:val="24"/>
          <w:szCs w:val="24"/>
          <w:rtl/>
        </w:rPr>
        <w:t>כשסכום זה צמוד למדד תשומות הבניה. עוד גורס שעזב את הנכס מאחר ומגורים תחת אותה קורת גג לא היו אפשריים באותה העת, שכן כבר התנהלו הליכים משפטיים קשים , כולל האשמות על בגידות. בנוסף, ביה"ד הרבני קבע שמגורים יחד לא היו אפשריים לאור מערכת היחסים המורכבת בתוך הבית. מעבר לכך, עוד קודם לפרידה חוו שנתיים קשות מאוד בזוגיות בגין מצבו הנפשי של בנם יאור.</w:t>
      </w:r>
    </w:p>
    <w:p w:rsidR="00FF7E1B" w:rsidRDefault="00FF7E1B" w:rsidP="00FF7E1B">
      <w:pPr>
        <w:pStyle w:val="aa"/>
        <w:rPr>
          <w:rFonts w:ascii="David" w:hAnsi="David" w:cs="David"/>
          <w:sz w:val="24"/>
          <w:szCs w:val="24"/>
          <w:rtl/>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עוד סבור התובע שיש להורות על דחיית כלל טענות הנתבעת </w:t>
      </w:r>
      <w:r>
        <w:rPr>
          <w:rFonts w:ascii="David" w:hAnsi="David" w:cs="David"/>
          <w:b/>
          <w:bCs/>
          <w:sz w:val="24"/>
          <w:szCs w:val="24"/>
          <w:u w:val="single"/>
          <w:rtl/>
        </w:rPr>
        <w:t>בדבר קיזוז</w:t>
      </w:r>
      <w:r>
        <w:rPr>
          <w:rFonts w:ascii="David" w:hAnsi="David" w:cs="David"/>
          <w:sz w:val="24"/>
          <w:szCs w:val="24"/>
          <w:rtl/>
        </w:rPr>
        <w:t xml:space="preserve">;  משך למעלה מ- 4 שנים לא עלה בידיה לצרף אסמכתאות מתשלום דמי השכירות והוצאות שוטפות בהן נשאה. כמו כן, טענתה לקבלת שכר עבור עבודתה בתחזוקת וניהול היחידה, הינה טענה בגדר הרחבת חזית אסורה אותה יש לדחות, הגם שלא הוכחה בשום צורה; כך גם בחקירתה הצהירה הנתבעת שלא הופקדו ההמחאות עבור חודשים 10-11/2014 אך הוכח שהמחאות אלה הופקדו בחשבון המשותף. זאת ועוד, הנתבעת התעלמה מהחלטות בימ"ש מיום 12.1.20 ו- 7.3.19  עת לא הגישה תצהיר לפירוט הוצאותיה בגין היחידה אותן מבקשת לקזז ולא התייצבה לדיון בהקשר זה, ורק לאחר שנה, ביום 13.2.20 הגישה תצהיר הוצאות בו טענה לשיפוץ ע"ס 45,000 ₪ והוצאות עבור אינסטלטור, וזאת מבלי לנקוב בסכום או לצרף ולו אסמכתא אחת, למעט תמונות לפני ואחרי השיפוץ עבור עסקה הפרטי, שנערך לאחר שהשמאי ערך את חוות הדעת המעודכנת. גם בחקירתה  העידה שלא ערכה שיפוץ משנת 2014 ועד ל- 07/2019, ובכך יש ללמד שהשיפוץ היחיד בוצע בחודש 09/2019 ונועד להקמת עסקה, ואין לו קשר להשכרת היחידה. כמו כן, לא הוכח שרווחי השכירות הושקעו בשיפוץ היחידה או תיקונה, ובחקירתה העידה הנתבעת ששילמה מאות בודדות במזומן, ובאמצעות הלוואות קטנות מאביה, אותן לא הוכיחה.  </w:t>
      </w:r>
    </w:p>
    <w:p w:rsidR="00FF7E1B" w:rsidRDefault="00FF7E1B" w:rsidP="00FF7E1B">
      <w:pPr>
        <w:pStyle w:val="aa"/>
        <w:rPr>
          <w:rFonts w:ascii="David" w:hAnsi="David" w:cs="David"/>
          <w:sz w:val="24"/>
          <w:szCs w:val="24"/>
          <w:u w:val="single"/>
        </w:rPr>
      </w:pPr>
    </w:p>
    <w:p w:rsidR="00FF7E1B" w:rsidRDefault="00FF7E1B" w:rsidP="005534D5">
      <w:pPr>
        <w:pStyle w:val="aa"/>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מוסיף התובע שגם את החלטת בית המשפט לעניין </w:t>
      </w:r>
      <w:r>
        <w:rPr>
          <w:rFonts w:ascii="David" w:hAnsi="David" w:cs="David"/>
          <w:b/>
          <w:bCs/>
          <w:sz w:val="24"/>
          <w:szCs w:val="24"/>
          <w:rtl/>
        </w:rPr>
        <w:t xml:space="preserve">חלוקת המיטלטלין, </w:t>
      </w:r>
      <w:r>
        <w:rPr>
          <w:rFonts w:ascii="David" w:hAnsi="David" w:cs="David"/>
          <w:sz w:val="24"/>
          <w:szCs w:val="24"/>
          <w:rtl/>
        </w:rPr>
        <w:t>לא קיימה הנתבעת</w:t>
      </w:r>
      <w:r>
        <w:rPr>
          <w:rFonts w:ascii="David" w:hAnsi="David" w:cs="David"/>
          <w:b/>
          <w:bCs/>
          <w:sz w:val="24"/>
          <w:szCs w:val="24"/>
          <w:rtl/>
        </w:rPr>
        <w:t xml:space="preserve"> </w:t>
      </w:r>
      <w:r>
        <w:rPr>
          <w:rFonts w:ascii="David" w:hAnsi="David" w:cs="David"/>
          <w:sz w:val="24"/>
          <w:szCs w:val="24"/>
          <w:rtl/>
        </w:rPr>
        <w:t xml:space="preserve">וכך התעלמה מההחלטה מיום 3.3.21 באופן בו לא ערכה רשימות כמוסכם, ואף התעלמה מסוגיית המיטלטלין בסיכומיה. משכך יש לחייבה בפיצוי בגין המיטלטלין בסך  30,000 ₪. </w:t>
      </w:r>
    </w:p>
    <w:p w:rsidR="00FF7E1B" w:rsidRDefault="00FF7E1B" w:rsidP="00FF7E1B">
      <w:pPr>
        <w:jc w:val="both"/>
        <w:rPr>
          <w:rFonts w:ascii="David" w:hAnsi="David"/>
        </w:rPr>
      </w:pPr>
    </w:p>
    <w:p w:rsidR="00FF7E1B" w:rsidRDefault="00FF7E1B" w:rsidP="005534D5">
      <w:pPr>
        <w:pStyle w:val="aa"/>
        <w:numPr>
          <w:ilvl w:val="0"/>
          <w:numId w:val="1"/>
        </w:numPr>
        <w:spacing w:line="360" w:lineRule="auto"/>
        <w:jc w:val="both"/>
        <w:rPr>
          <w:rFonts w:ascii="David" w:hAnsi="David" w:cs="David"/>
          <w:sz w:val="24"/>
          <w:szCs w:val="24"/>
          <w:rtl/>
        </w:rPr>
      </w:pPr>
      <w:r>
        <w:rPr>
          <w:rFonts w:ascii="David" w:hAnsi="David" w:cs="David"/>
          <w:b/>
          <w:bCs/>
          <w:sz w:val="24"/>
          <w:szCs w:val="24"/>
          <w:rtl/>
        </w:rPr>
        <w:t xml:space="preserve">ביחס לתביעת המזונות </w:t>
      </w:r>
      <w:r>
        <w:rPr>
          <w:rFonts w:ascii="David" w:hAnsi="David" w:cs="David"/>
          <w:sz w:val="24"/>
          <w:szCs w:val="24"/>
          <w:rtl/>
        </w:rPr>
        <w:t>גורס</w:t>
      </w:r>
      <w:r>
        <w:rPr>
          <w:rFonts w:ascii="David" w:hAnsi="David" w:cs="David"/>
          <w:b/>
          <w:bCs/>
          <w:sz w:val="24"/>
          <w:szCs w:val="24"/>
          <w:rtl/>
        </w:rPr>
        <w:t xml:space="preserve"> </w:t>
      </w:r>
      <w:r>
        <w:rPr>
          <w:rFonts w:ascii="David" w:hAnsi="David" w:cs="David"/>
          <w:sz w:val="24"/>
          <w:szCs w:val="24"/>
          <w:rtl/>
        </w:rPr>
        <w:t xml:space="preserve">שמדובר בתביעה להגדלת דמי מזונות וזאת  עפ"י הסכמת הצדדים שבעינה עומדת. הנתבעת לא הוכיחה כל שינוי נסיבות ממועד מתן ההחלטה בשאלת המזונות בשנת 2017, ובכלל זה  שחל שינוי בצרכי הקטינות.  </w:t>
      </w:r>
    </w:p>
    <w:p w:rsidR="00FF7E1B" w:rsidRDefault="00FF7E1B" w:rsidP="00FF7E1B">
      <w:pPr>
        <w:pStyle w:val="aa"/>
        <w:rPr>
          <w:rFonts w:ascii="David" w:hAnsi="David" w:cs="David"/>
          <w:sz w:val="24"/>
          <w:szCs w:val="24"/>
          <w:rtl/>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ההסכם גובש במסגרת תביעה אותה הגיש ביולי 2016, עת </w:t>
      </w:r>
      <w:r w:rsidR="005534D5">
        <w:rPr>
          <w:rFonts w:ascii="David" w:hAnsi="David" w:cs="David" w:hint="cs"/>
          <w:sz w:val="24"/>
          <w:szCs w:val="24"/>
          <w:rtl/>
        </w:rPr>
        <w:t xml:space="preserve">*** </w:t>
      </w:r>
      <w:r>
        <w:rPr>
          <w:rFonts w:ascii="David" w:hAnsi="David" w:cs="David"/>
          <w:sz w:val="24"/>
          <w:szCs w:val="24"/>
          <w:rtl/>
        </w:rPr>
        <w:t>ו</w:t>
      </w:r>
      <w:r w:rsidR="005534D5">
        <w:rPr>
          <w:rFonts w:ascii="David" w:hAnsi="David" w:cs="David" w:hint="cs"/>
          <w:sz w:val="24"/>
          <w:szCs w:val="24"/>
          <w:rtl/>
        </w:rPr>
        <w:t xml:space="preserve">*** </w:t>
      </w:r>
      <w:r>
        <w:rPr>
          <w:rFonts w:ascii="David" w:hAnsi="David" w:cs="David"/>
          <w:sz w:val="24"/>
          <w:szCs w:val="24"/>
          <w:rtl/>
        </w:rPr>
        <w:t>היו קטינים והתגוררו בביתו דרך קבע, ו</w:t>
      </w:r>
      <w:r w:rsidR="005534D5">
        <w:rPr>
          <w:rFonts w:ascii="David" w:hAnsi="David" w:cs="David" w:hint="cs"/>
          <w:sz w:val="24"/>
          <w:szCs w:val="24"/>
          <w:rtl/>
        </w:rPr>
        <w:t xml:space="preserve">*** </w:t>
      </w:r>
      <w:r>
        <w:rPr>
          <w:rFonts w:ascii="David" w:hAnsi="David" w:cs="David"/>
          <w:sz w:val="24"/>
          <w:szCs w:val="24"/>
          <w:rtl/>
        </w:rPr>
        <w:t xml:space="preserve">הייתה במשמורת משותפת. במועד הגשת התביעה עסקינן (05/2020), הבן </w:t>
      </w:r>
      <w:r w:rsidR="005534D5">
        <w:rPr>
          <w:rFonts w:ascii="David" w:hAnsi="David" w:cs="David" w:hint="cs"/>
          <w:sz w:val="24"/>
          <w:szCs w:val="24"/>
          <w:rtl/>
        </w:rPr>
        <w:t xml:space="preserve">*** </w:t>
      </w:r>
      <w:r>
        <w:rPr>
          <w:rFonts w:ascii="David" w:hAnsi="David" w:cs="David"/>
          <w:sz w:val="24"/>
          <w:szCs w:val="24"/>
          <w:rtl/>
        </w:rPr>
        <w:t xml:space="preserve">היה בן 21 והתגורר בביתו דרך קבע, הבת </w:t>
      </w:r>
      <w:r w:rsidR="005534D5">
        <w:rPr>
          <w:rFonts w:ascii="David" w:hAnsi="David" w:cs="David" w:hint="cs"/>
          <w:sz w:val="24"/>
          <w:szCs w:val="24"/>
          <w:rtl/>
        </w:rPr>
        <w:t xml:space="preserve">*** </w:t>
      </w:r>
      <w:r>
        <w:rPr>
          <w:rFonts w:ascii="David" w:hAnsi="David" w:cs="David"/>
          <w:sz w:val="24"/>
          <w:szCs w:val="24"/>
          <w:rtl/>
        </w:rPr>
        <w:t xml:space="preserve">הייתה חיילת בת 19.5 והתגוררה בבית הצדדים לפרקים עד לגיוס, והקטינה </w:t>
      </w:r>
      <w:r w:rsidR="005534D5">
        <w:rPr>
          <w:rFonts w:ascii="David" w:hAnsi="David" w:cs="David" w:hint="cs"/>
          <w:sz w:val="24"/>
          <w:szCs w:val="24"/>
          <w:rtl/>
        </w:rPr>
        <w:t xml:space="preserve">*** </w:t>
      </w:r>
      <w:r>
        <w:rPr>
          <w:rFonts w:ascii="David" w:hAnsi="David" w:cs="David"/>
          <w:sz w:val="24"/>
          <w:szCs w:val="24"/>
          <w:rtl/>
        </w:rPr>
        <w:t xml:space="preserve">בת ה-  9.5 לנה בביתו  3 פעמים באמצע השבוע, ובסופ"ש לסירוגין. כיום, </w:t>
      </w:r>
      <w:r w:rsidR="005534D5">
        <w:rPr>
          <w:rFonts w:ascii="David" w:hAnsi="David" w:cs="David" w:hint="cs"/>
          <w:sz w:val="24"/>
          <w:szCs w:val="24"/>
          <w:rtl/>
        </w:rPr>
        <w:t xml:space="preserve">*** </w:t>
      </w:r>
      <w:r>
        <w:rPr>
          <w:rFonts w:ascii="David" w:hAnsi="David" w:cs="David"/>
          <w:sz w:val="24"/>
          <w:szCs w:val="24"/>
          <w:rtl/>
        </w:rPr>
        <w:t>בגירה וחיה בגפה ו</w:t>
      </w:r>
      <w:r w:rsidR="005534D5">
        <w:rPr>
          <w:rFonts w:ascii="David" w:hAnsi="David" w:cs="David" w:hint="cs"/>
          <w:sz w:val="24"/>
          <w:szCs w:val="24"/>
          <w:rtl/>
        </w:rPr>
        <w:t xml:space="preserve">*** </w:t>
      </w:r>
      <w:r>
        <w:rPr>
          <w:rFonts w:ascii="David" w:hAnsi="David" w:cs="David"/>
          <w:sz w:val="24"/>
          <w:szCs w:val="24"/>
          <w:rtl/>
        </w:rPr>
        <w:t xml:space="preserve">בת 11 במשמורת משותפת. לפיכך בשנת 2017 זמני השהות היו מצומצמים יותר, ולעניין רכיב זה המצב השתפר לטובת הנתבעת. </w:t>
      </w:r>
    </w:p>
    <w:p w:rsidR="00FF7E1B" w:rsidRDefault="00FF7E1B" w:rsidP="00FF7E1B">
      <w:pPr>
        <w:pStyle w:val="aa"/>
        <w:rPr>
          <w:rFonts w:ascii="David" w:hAnsi="David" w:cs="David"/>
          <w:sz w:val="24"/>
          <w:szCs w:val="24"/>
          <w:u w:val="single"/>
          <w:rtl/>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t>עוד סבור שהנתבעת לא הוכיחה כל שינוי במצבה הכלכלי ממועד קביעת המזונות בשנת 2017, ואף הפוך מכך. בנוסף, הנתבעת לא קיימה החלטות בימ"ש לגילוי מסמכים, בעיקר אלה הקשורות להכנסותיה בעסק העצמאי אותו מנהלת ללא רו"ח, מבלי להגיש דוחות כספיים (מפנה החלטות מיום 3.3.21, 6.4.22, 27.3.22, 26.12.21, 16.12.22, 13.5.21). מדו"ח שהציגה עבור שנת 2020, עולה רווח של 497 ₪ בלבד, ומשכך לא ברור איך משלמת כלל הוצאותיה כפי שפורטו בחקירתה, ולא ניתן כל הסבר לכספים המופקדים בחשבונה ע"ס 12,000 ₪ בחודש, העולים על הכנסתו החודשית. בנוסף, פוטנציאל השתכרותה גבוה שכן הנתבעת בעלת תואר שני בעבודה סוציאלית, מטפלת בסי.בי.טי, הנדסאית אדריכלות, רפואה משלימה, מדריכה סטודנטים, עו"ס ובבעלותה דירה רחבת ידיים. בנוסף, מעיון בדפי החשבון שהציגה לשנים 2017-2022 עולה שבשנים 2017-2019, מידי חודש נכנסו לחשבונה דמי שכירות ע"ס 2,000 ₪, קצבת קטינים ע"ס 300-500 ₪, שכר מהמכללה ע"ס 700-1700 ₪ ושכר מיעדים ע"ס 10,000 ₪ (בממוצע);  בשנת 2018 התחילה להפעיל את עסקה והתקבלו בחשבונה כספים במזומן ומכרטיסי אשראי; בתקופת הקורונה התקבלו בידיה מענקי קורונה; בשנת 2021 ההפקדות עלו, ונצפו הפקדות של 10,000 – 30,000 ₪ וכן מענקי מל"ל ע"ס 6,000-8000 ₪. מכל האמור עולה שמצבה הלך והשתפר מאז שנת 2017, כך שאז יתרת הזכות בחשבונה הייתה 6,000 ₪; בשנת 2019 יתרת הזכות הייתה 15,000 ₪; בשנת 2021 יתרת הזכות הייתה  21,000 ₪; בשנת 2022 יתרת הזכות הייתה 20,000 ₪. בנוסף, הצהרותיה ביחס להכנסתה נטענו בעלמא, ואלה עומדות בסתירה למצב חשבונה בפועל באופן המעיד על חוסר תום ליבה ומחייב דחיית התביעה.</w:t>
      </w:r>
    </w:p>
    <w:p w:rsidR="00FF7E1B" w:rsidRDefault="00FF7E1B" w:rsidP="00FF7E1B">
      <w:pPr>
        <w:pStyle w:val="aa"/>
        <w:spacing w:line="240" w:lineRule="auto"/>
        <w:ind w:left="360"/>
        <w:jc w:val="both"/>
        <w:rPr>
          <w:rFonts w:ascii="David" w:hAnsi="David" w:cs="David"/>
          <w:sz w:val="24"/>
          <w:szCs w:val="24"/>
        </w:rPr>
      </w:pPr>
    </w:p>
    <w:p w:rsidR="00FF7E1B" w:rsidRDefault="00FF7E1B" w:rsidP="005534D5">
      <w:pPr>
        <w:pStyle w:val="aa"/>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לעומת זאת, מאז שנת 2017 עד לשנת 2020 לא חל שינוי משמעותי בשכרו, וזה אף פחת; בשנת 2017 הרוויח 90,000 ₪ מהלך השנה (7,500 ₪ בחודש, כשכיר ועצמאי לאחר הורדות מס), ובשנת 2020 הרוויח 80,000 ₪. גם כספי הפיקדון להם טוענת הנתבעת, הגיעו מהתשלומים שהיא שילמה בגין חלקו בדירה, וממכירת דירתו בחו"ל. אם לא די בכך, הוכח מעדויות הצדדים, ששילם הוצאות רבות עבור הילדים, ובכלל זה רישיון לבת </w:t>
      </w:r>
      <w:r w:rsidR="005534D5">
        <w:rPr>
          <w:rFonts w:ascii="David" w:hAnsi="David" w:cs="David" w:hint="cs"/>
          <w:sz w:val="24"/>
          <w:szCs w:val="24"/>
          <w:rtl/>
        </w:rPr>
        <w:t>***</w:t>
      </w:r>
      <w:r>
        <w:rPr>
          <w:rFonts w:ascii="David" w:hAnsi="David" w:cs="David"/>
          <w:sz w:val="24"/>
          <w:szCs w:val="24"/>
          <w:rtl/>
        </w:rPr>
        <w:t>, הוצאות רכב בו משתמשים, חופשה, תמרוקים, חוגים לקטינה וביגוד.</w:t>
      </w:r>
    </w:p>
    <w:p w:rsidR="00FF7E1B" w:rsidRDefault="00FF7E1B" w:rsidP="00FF7E1B">
      <w:pPr>
        <w:pStyle w:val="aa"/>
        <w:spacing w:line="240" w:lineRule="auto"/>
        <w:ind w:left="360"/>
        <w:jc w:val="both"/>
        <w:rPr>
          <w:rFonts w:ascii="David" w:hAnsi="David" w:cs="David"/>
          <w:sz w:val="24"/>
          <w:szCs w:val="24"/>
          <w:rtl/>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האמור סבור שיש לדחות את תביעת הנתבעת להגדלת מזונות ולחייבה בהוצאות משפט ושכ"ט עו"ד כדין. לכך יש להוסיף שיש להפחית משמעותית ממשקל עדותה לאור  התערבות באת כוחה בחקירתה.  </w:t>
      </w:r>
    </w:p>
    <w:p w:rsidR="00FF7E1B" w:rsidRDefault="00FF7E1B" w:rsidP="00FF7E1B">
      <w:pPr>
        <w:pStyle w:val="aa"/>
        <w:spacing w:line="240" w:lineRule="auto"/>
        <w:ind w:left="0"/>
        <w:jc w:val="both"/>
        <w:rPr>
          <w:rFonts w:ascii="David" w:hAnsi="David" w:cs="David"/>
          <w:sz w:val="24"/>
          <w:szCs w:val="24"/>
        </w:rPr>
      </w:pPr>
    </w:p>
    <w:p w:rsidR="00FF7E1B" w:rsidRDefault="00FF7E1B" w:rsidP="00FF7E1B">
      <w:pPr>
        <w:pStyle w:val="aa"/>
        <w:spacing w:line="360" w:lineRule="auto"/>
        <w:ind w:left="0"/>
        <w:jc w:val="both"/>
        <w:rPr>
          <w:rFonts w:ascii="David" w:hAnsi="David" w:cs="David"/>
          <w:b/>
          <w:bCs/>
          <w:sz w:val="32"/>
          <w:szCs w:val="32"/>
          <w:u w:val="single"/>
          <w:rtl/>
        </w:rPr>
      </w:pPr>
      <w:r>
        <w:rPr>
          <w:rFonts w:ascii="David" w:hAnsi="David" w:cs="David"/>
          <w:b/>
          <w:bCs/>
          <w:sz w:val="32"/>
          <w:szCs w:val="32"/>
          <w:u w:val="single"/>
          <w:rtl/>
        </w:rPr>
        <w:t>הכרעה בתמ"ש 30328-07-16 (דמי שימוש);</w:t>
      </w:r>
    </w:p>
    <w:p w:rsidR="00FF7E1B" w:rsidRDefault="00FF7E1B" w:rsidP="00FF7E1B">
      <w:pPr>
        <w:spacing w:line="360" w:lineRule="auto"/>
        <w:jc w:val="both"/>
        <w:rPr>
          <w:rFonts w:ascii="Arial" w:hAnsi="Arial"/>
          <w:b/>
          <w:bCs/>
          <w:sz w:val="28"/>
          <w:szCs w:val="28"/>
          <w:u w:val="single"/>
          <w:rtl/>
        </w:rPr>
      </w:pPr>
      <w:r>
        <w:rPr>
          <w:rFonts w:ascii="Arial" w:hAnsi="Arial"/>
          <w:b/>
          <w:bCs/>
          <w:sz w:val="28"/>
          <w:szCs w:val="28"/>
          <w:u w:val="single"/>
          <w:rtl/>
        </w:rPr>
        <w:t>המתווה הדיוני;</w:t>
      </w:r>
    </w:p>
    <w:p w:rsidR="00FF7E1B" w:rsidRDefault="00FF7E1B" w:rsidP="00FF7E1B">
      <w:pPr>
        <w:jc w:val="both"/>
        <w:rPr>
          <w:b/>
          <w:bCs/>
          <w:u w:val="single"/>
          <w:rtl/>
        </w:rPr>
      </w:pPr>
    </w:p>
    <w:p w:rsidR="00FF7E1B" w:rsidRDefault="00FF7E1B" w:rsidP="00FF7E1B">
      <w:pPr>
        <w:pStyle w:val="aa"/>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כמפורט לעיל, הצדדים הודיעו על הסכמתם למתן פסק הדין לפי סעיף 79 א לחוק בתי המשפט [נוסח משולב] התשמ"ד- 1984 (ראה לעניין זה עמודים 35-36, סעיפים 1-2 לפרוטוקול הדיון מיום 3.3.21).</w:t>
      </w:r>
    </w:p>
    <w:p w:rsidR="00FF7E1B" w:rsidRDefault="00FF7E1B" w:rsidP="00FF7E1B">
      <w:pPr>
        <w:pStyle w:val="aa"/>
        <w:spacing w:after="0" w:line="240" w:lineRule="auto"/>
        <w:ind w:left="360"/>
        <w:jc w:val="both"/>
        <w:rPr>
          <w:rFonts w:ascii="Arial" w:eastAsia="Times New Roman" w:hAnsi="Arial" w:cs="David"/>
          <w:sz w:val="24"/>
          <w:szCs w:val="24"/>
        </w:rPr>
      </w:pPr>
    </w:p>
    <w:p w:rsidR="00FF7E1B" w:rsidRDefault="00FF7E1B" w:rsidP="00FF7E1B">
      <w:pPr>
        <w:spacing w:line="360" w:lineRule="auto"/>
        <w:jc w:val="both"/>
        <w:rPr>
          <w:rFonts w:ascii="Arial" w:hAnsi="Arial"/>
          <w:b/>
          <w:bCs/>
          <w:sz w:val="28"/>
          <w:szCs w:val="28"/>
          <w:u w:val="single"/>
        </w:rPr>
      </w:pPr>
      <w:r>
        <w:rPr>
          <w:rFonts w:ascii="Arial" w:hAnsi="Arial"/>
          <w:b/>
          <w:bCs/>
          <w:sz w:val="28"/>
          <w:szCs w:val="28"/>
          <w:u w:val="single"/>
          <w:rtl/>
        </w:rPr>
        <w:t xml:space="preserve">הכרעה: </w:t>
      </w:r>
    </w:p>
    <w:p w:rsidR="00FF7E1B" w:rsidRDefault="00FF7E1B" w:rsidP="00FF7E1B">
      <w:pPr>
        <w:jc w:val="both"/>
        <w:rPr>
          <w:rFonts w:ascii="Arial" w:hAnsi="Arial"/>
          <w:b/>
          <w:bCs/>
          <w:sz w:val="28"/>
          <w:szCs w:val="28"/>
          <w:u w:val="single"/>
          <w:rtl/>
        </w:rPr>
      </w:pPr>
    </w:p>
    <w:p w:rsidR="00FF7E1B" w:rsidRDefault="00FF7E1B" w:rsidP="00FF7E1B">
      <w:pPr>
        <w:numPr>
          <w:ilvl w:val="0"/>
          <w:numId w:val="1"/>
        </w:numPr>
        <w:spacing w:line="360" w:lineRule="auto"/>
        <w:contextualSpacing/>
        <w:jc w:val="both"/>
        <w:rPr>
          <w:rFonts w:ascii="Arial" w:hAnsi="Arial"/>
          <w:rtl/>
        </w:rPr>
      </w:pPr>
      <w:r>
        <w:rPr>
          <w:rFonts w:ascii="Arial" w:hAnsi="Arial"/>
          <w:rtl/>
        </w:rPr>
        <w:t>לאחר שעיינתי בכתבי הטענות על נספחיהם ובסיכומים שהוגשו, שמעתי את עדות הצדדים ושקלתי את כלל השיקולים שבית המשפט רשאי לשקול בפוסקו לפי סעיף 79 א לחוק בתי המשפט, מצאתי שדין התביעה להתקבל בחלקה.  בהתאמה הנני קובעת, כדלקמן:</w:t>
      </w:r>
    </w:p>
    <w:p w:rsidR="00FF7E1B" w:rsidRDefault="00FF7E1B" w:rsidP="00FF7E1B">
      <w:pPr>
        <w:ind w:left="360"/>
        <w:contextualSpacing/>
        <w:jc w:val="both"/>
        <w:rPr>
          <w:rFonts w:ascii="Arial" w:hAnsi="Arial"/>
        </w:rPr>
      </w:pPr>
    </w:p>
    <w:p w:rsidR="00FF7E1B" w:rsidRDefault="00FF7E1B" w:rsidP="00FF7E1B">
      <w:pPr>
        <w:pStyle w:val="aa"/>
        <w:numPr>
          <w:ilvl w:val="0"/>
          <w:numId w:val="4"/>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הנני מחייבת את הנתבעת לשלם לידי התובע דמי שימוש ראויים בגין השימוש הבלעדי שעשתה בנכס וביחידת הדיור, בסך 135,000 ₪.</w:t>
      </w:r>
    </w:p>
    <w:p w:rsidR="00FF7E1B" w:rsidRDefault="00FF7E1B" w:rsidP="00FF7E1B">
      <w:pPr>
        <w:pStyle w:val="aa"/>
        <w:spacing w:after="0" w:line="240" w:lineRule="auto"/>
        <w:jc w:val="both"/>
        <w:rPr>
          <w:rFonts w:ascii="Arial" w:eastAsia="Times New Roman" w:hAnsi="Arial" w:cs="David"/>
          <w:sz w:val="24"/>
          <w:szCs w:val="24"/>
        </w:rPr>
      </w:pPr>
      <w:r>
        <w:rPr>
          <w:rFonts w:ascii="Arial" w:eastAsia="Times New Roman" w:hAnsi="Arial" w:cs="David"/>
          <w:sz w:val="24"/>
          <w:szCs w:val="24"/>
          <w:rtl/>
        </w:rPr>
        <w:t xml:space="preserve">  </w:t>
      </w:r>
    </w:p>
    <w:p w:rsidR="00FF7E1B" w:rsidRDefault="00FF7E1B" w:rsidP="00FF7E1B">
      <w:pPr>
        <w:pStyle w:val="aa"/>
        <w:numPr>
          <w:ilvl w:val="0"/>
          <w:numId w:val="4"/>
        </w:numPr>
        <w:spacing w:after="0" w:line="360" w:lineRule="auto"/>
        <w:jc w:val="both"/>
        <w:rPr>
          <w:rFonts w:ascii="Arial" w:eastAsia="Times New Roman" w:hAnsi="Arial" w:cs="David"/>
          <w:sz w:val="24"/>
          <w:szCs w:val="24"/>
        </w:rPr>
      </w:pPr>
      <w:r>
        <w:rPr>
          <w:rFonts w:ascii="Arial" w:eastAsia="Times New Roman" w:hAnsi="Arial" w:cs="David"/>
          <w:sz w:val="24"/>
          <w:szCs w:val="24"/>
          <w:rtl/>
        </w:rPr>
        <w:t xml:space="preserve">הסכום ישולם תוך 30 ימים שאם לא כן יישא  הפרשי ריבית והצמדה החל מהיום ועד ליום התשלום המלא בפועל. </w:t>
      </w:r>
    </w:p>
    <w:p w:rsidR="00FF7E1B" w:rsidRDefault="00FF7E1B" w:rsidP="00FF7E1B">
      <w:pPr>
        <w:pStyle w:val="aa"/>
        <w:spacing w:line="240" w:lineRule="auto"/>
        <w:ind w:left="0"/>
        <w:jc w:val="both"/>
        <w:rPr>
          <w:rFonts w:ascii="David" w:hAnsi="David" w:cs="David"/>
          <w:b/>
          <w:bCs/>
          <w:sz w:val="32"/>
          <w:szCs w:val="32"/>
          <w:u w:val="single"/>
          <w:rtl/>
        </w:rPr>
      </w:pPr>
    </w:p>
    <w:p w:rsidR="00FF7E1B" w:rsidRDefault="00FF7E1B" w:rsidP="00FF7E1B">
      <w:pPr>
        <w:pStyle w:val="aa"/>
        <w:spacing w:line="360" w:lineRule="auto"/>
        <w:ind w:left="0"/>
        <w:jc w:val="both"/>
        <w:rPr>
          <w:rFonts w:ascii="David" w:hAnsi="David" w:cs="David"/>
          <w:b/>
          <w:bCs/>
          <w:sz w:val="32"/>
          <w:szCs w:val="32"/>
          <w:rtl/>
        </w:rPr>
      </w:pPr>
      <w:r>
        <w:rPr>
          <w:rFonts w:ascii="David" w:hAnsi="David" w:cs="David"/>
          <w:b/>
          <w:bCs/>
          <w:sz w:val="32"/>
          <w:szCs w:val="32"/>
          <w:u w:val="single"/>
          <w:rtl/>
        </w:rPr>
        <w:t>דיון והכרעה בתמ"ש 61481-05-20 (הגדלת מזונות):</w:t>
      </w:r>
    </w:p>
    <w:p w:rsidR="00FF7E1B" w:rsidRDefault="00FF7E1B" w:rsidP="00FF7E1B">
      <w:pPr>
        <w:spacing w:line="360" w:lineRule="auto"/>
        <w:jc w:val="both"/>
        <w:rPr>
          <w:rFonts w:ascii="Arial" w:hAnsi="Arial"/>
          <w:highlight w:val="yellow"/>
          <w:rtl/>
        </w:rPr>
      </w:pPr>
      <w:r>
        <w:rPr>
          <w:rFonts w:ascii="Arial" w:hAnsi="Arial"/>
          <w:rtl/>
        </w:rPr>
        <w:t>לאחר שעיינתי בכתבי הטענות על נספחיהם ושמעתי את טענות ועדויות הצדדים לפניי, הגעתי לכלל מסקנה שדין התביעה להידחות במלואה.  ואנמק:</w:t>
      </w:r>
    </w:p>
    <w:p w:rsidR="00FF7E1B" w:rsidRDefault="00FF7E1B" w:rsidP="00FF7E1B">
      <w:pPr>
        <w:jc w:val="both"/>
        <w:rPr>
          <w:rFonts w:ascii="Arial" w:hAnsi="Arial"/>
          <w:b/>
          <w:bCs/>
          <w:sz w:val="28"/>
          <w:szCs w:val="28"/>
          <w:highlight w:val="yellow"/>
          <w:u w:val="single"/>
          <w:rtl/>
        </w:rPr>
      </w:pPr>
    </w:p>
    <w:p w:rsidR="00FF7E1B" w:rsidRDefault="00FF7E1B" w:rsidP="00FF7E1B">
      <w:pPr>
        <w:pStyle w:val="aa"/>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ראשית, ובטרם אדרש לטענות לגופן, אתייחס לטענת הנתבעת ולפיה אין המדובר בתביעה להגדלת מזונות אלא בתביעה עצמאית של הקטינים; טענה זו הועלתה בחוסר תום לב של ממש ומצאתי לדחותה; כמפורט לעיל, ביום 3.3.21 הגיעו הצדדים להסכמות דיוניות אשר קיבלו תוקף של החלטה, ובהתאם להן ניתן פס"ד זה. בסעיף 3 הוסכם באופן מפורש שעניינה של התביעה בהגדלת מזונות ולא בפסיקת מזונות (ראה עמוד 35 שורות 32-33 לפרוטוקול). מכאן, עת הגדירו הצדדים את המחלוקת שתובא להכרעת בית המשפט, אין הנתבעת יכולה להעלות בסיכומיה טענות סותרות, במנותק מהסכמה. ככל ועמדה על טענתה לעניין השאלה שבמחלוקת, הרי שלא הייתה מתגבשת הסכמה לעניין זה, וגם מחלוקת זו הייתה נותרת להכרעה. לא זו אף זו; בטרם אישור הסכמות הצדדים, ובכלל זה המתווה הדיוני, אישרה הנתבעת לפרוטוקול את ההסכמות, הצהירה שהיא מבינה אותן והגיעה אליהן מרצון. בנסיבות אלה, טענות הנתבעת לעניין זה נדחות במלואן, לרבות לעניין רף ההוכחה הנדרש, תוך שיחול הדין המהותי בתביעה להגדלת מזונות. </w:t>
      </w:r>
    </w:p>
    <w:p w:rsidR="00FF7E1B" w:rsidRDefault="00FF7E1B" w:rsidP="00FF7E1B">
      <w:pPr>
        <w:spacing w:line="360" w:lineRule="auto"/>
        <w:jc w:val="both"/>
        <w:rPr>
          <w:rFonts w:ascii="Arial" w:hAnsi="Arial"/>
          <w:b/>
          <w:bCs/>
          <w:sz w:val="28"/>
          <w:szCs w:val="28"/>
          <w:u w:val="single"/>
        </w:rPr>
      </w:pPr>
    </w:p>
    <w:p w:rsidR="00FF7E1B" w:rsidRDefault="00FF7E1B" w:rsidP="00FF7E1B">
      <w:pPr>
        <w:spacing w:line="360" w:lineRule="auto"/>
        <w:jc w:val="both"/>
        <w:rPr>
          <w:rFonts w:ascii="Arial" w:hAnsi="Arial"/>
          <w:rtl/>
        </w:rPr>
      </w:pPr>
      <w:r>
        <w:rPr>
          <w:rFonts w:ascii="Arial" w:hAnsi="Arial"/>
          <w:b/>
          <w:bCs/>
          <w:sz w:val="28"/>
          <w:szCs w:val="28"/>
          <w:u w:val="single"/>
          <w:rtl/>
        </w:rPr>
        <w:t>המתווה הנורמטיבי;</w:t>
      </w:r>
    </w:p>
    <w:p w:rsidR="00FF7E1B" w:rsidRDefault="00FF7E1B" w:rsidP="00FF7E1B">
      <w:pPr>
        <w:ind w:left="720"/>
        <w:contextualSpacing/>
        <w:rPr>
          <w:rFonts w:ascii="Arial" w:hAnsi="Arial" w:cs="Arial"/>
          <w:sz w:val="22"/>
          <w:szCs w:val="22"/>
          <w:highlight w:val="yellow"/>
          <w:rtl/>
        </w:rPr>
      </w:pPr>
    </w:p>
    <w:p w:rsidR="00FF7E1B" w:rsidRDefault="00FF7E1B" w:rsidP="00FF7E1B">
      <w:pPr>
        <w:pStyle w:val="aa"/>
        <w:numPr>
          <w:ilvl w:val="0"/>
          <w:numId w:val="1"/>
        </w:numPr>
        <w:spacing w:line="360" w:lineRule="auto"/>
        <w:jc w:val="both"/>
        <w:rPr>
          <w:rFonts w:ascii="Arial" w:eastAsia="Times New Roman" w:hAnsi="Arial" w:cs="David"/>
          <w:sz w:val="24"/>
          <w:szCs w:val="24"/>
        </w:rPr>
      </w:pPr>
      <w:r>
        <w:rPr>
          <w:rFonts w:ascii="Arial" w:eastAsia="Times New Roman" w:hAnsi="Arial" w:cs="David"/>
          <w:sz w:val="24"/>
          <w:szCs w:val="24"/>
          <w:rtl/>
        </w:rPr>
        <w:t>סעיף 13(א) לחוק לתיקון דיני משפחה (מזונות), תשי"ט – 1959 (להלן: "החוק"), קובע:</w:t>
      </w:r>
    </w:p>
    <w:p w:rsidR="00FF7E1B" w:rsidRDefault="00FF7E1B" w:rsidP="00FF7E1B">
      <w:pPr>
        <w:spacing w:line="360" w:lineRule="auto"/>
        <w:ind w:left="360"/>
        <w:contextualSpacing/>
        <w:jc w:val="both"/>
        <w:rPr>
          <w:rFonts w:ascii="Arial" w:hAnsi="Arial"/>
          <w:rtl/>
        </w:rPr>
      </w:pPr>
      <w:r>
        <w:rPr>
          <w:rFonts w:ascii="Arial" w:hAnsi="Arial"/>
          <w:rtl/>
        </w:rPr>
        <w:t>"</w:t>
      </w:r>
      <w:r>
        <w:rPr>
          <w:rFonts w:ascii="Arial" w:hAnsi="Arial"/>
          <w:b/>
          <w:bCs/>
          <w:rtl/>
        </w:rPr>
        <w:t>בית המשפט רשאי לשנות את אשר נקבע בהסכם, בויתור ובפסק-דין, אם ראה לעשות כן על סמך נסיבות שנודעו למבקש או שנשתנו אחרי ההסכם, הויתור או פסק-הדין</w:t>
      </w:r>
      <w:r>
        <w:rPr>
          <w:rFonts w:ascii="Arial" w:hAnsi="Arial"/>
          <w:rtl/>
        </w:rPr>
        <w:t xml:space="preserve">". </w:t>
      </w:r>
    </w:p>
    <w:p w:rsidR="00FF7E1B" w:rsidRDefault="00FF7E1B" w:rsidP="00FF7E1B">
      <w:pPr>
        <w:ind w:left="360"/>
        <w:contextualSpacing/>
        <w:jc w:val="both"/>
        <w:rPr>
          <w:rFonts w:ascii="Arial" w:hAnsi="Arial"/>
          <w:rtl/>
        </w:rPr>
      </w:pPr>
    </w:p>
    <w:p w:rsidR="00FF7E1B" w:rsidRDefault="00FF7E1B" w:rsidP="00FF7E1B">
      <w:pPr>
        <w:numPr>
          <w:ilvl w:val="0"/>
          <w:numId w:val="1"/>
        </w:numPr>
        <w:spacing w:after="160" w:line="360" w:lineRule="auto"/>
        <w:contextualSpacing/>
        <w:jc w:val="both"/>
        <w:rPr>
          <w:rFonts w:ascii="Arial" w:hAnsi="Arial"/>
          <w:rtl/>
        </w:rPr>
      </w:pPr>
      <w:r>
        <w:rPr>
          <w:rFonts w:ascii="Arial" w:hAnsi="Arial"/>
          <w:rtl/>
        </w:rPr>
        <w:t>לא אחת נקבע שפסק דין בשאלת מזונות, ובמיוחד פסק דין שניתן בהסכמת הצדדים, צופה מטבעו פני עתיד, כך שרק שינוי משמעותי יצדיק היזקקות חוזרת של בית המשפט לשאלת המזונות (ראו לעניין זה, ע"א 363/81 פייגה נ' פייגה, פ"ד לו(3), 187, תמ"ש (ת"א) 85240/98 דרומי נ' דרומי (לא פורסם), ע"א 4515/92 שטיין נ' שטיין (ניתן ביום 13.6.1994)).</w:t>
      </w:r>
    </w:p>
    <w:p w:rsidR="00FF7E1B" w:rsidRDefault="00FF7E1B" w:rsidP="00FF7E1B">
      <w:pPr>
        <w:ind w:left="360"/>
        <w:contextualSpacing/>
        <w:jc w:val="both"/>
        <w:rPr>
          <w:rFonts w:ascii="Arial" w:hAnsi="Arial"/>
          <w:highlight w:val="yellow"/>
          <w:rtl/>
        </w:rPr>
      </w:pPr>
    </w:p>
    <w:p w:rsidR="00FF7E1B" w:rsidRDefault="00FF7E1B" w:rsidP="00FF7E1B">
      <w:pPr>
        <w:numPr>
          <w:ilvl w:val="0"/>
          <w:numId w:val="1"/>
        </w:numPr>
        <w:spacing w:after="160" w:line="360" w:lineRule="auto"/>
        <w:contextualSpacing/>
        <w:jc w:val="both"/>
        <w:rPr>
          <w:rFonts w:ascii="Arial" w:hAnsi="Arial"/>
        </w:rPr>
      </w:pPr>
      <w:r>
        <w:rPr>
          <w:rFonts w:ascii="David" w:hAnsi="David"/>
          <w:rtl/>
        </w:rPr>
        <w:t xml:space="preserve">ההלכה הצריכה לענייננו נקבעה בהלכת בע"מ 7670/18 פלונית נ' פלוני (נבו 20.01.2021) (להלן: </w:t>
      </w:r>
      <w:r>
        <w:rPr>
          <w:rFonts w:ascii="David" w:hAnsi="David"/>
          <w:b/>
          <w:bCs/>
          <w:rtl/>
        </w:rPr>
        <w:t>"עניין פלונית")</w:t>
      </w:r>
      <w:r>
        <w:rPr>
          <w:rFonts w:ascii="David" w:hAnsi="David"/>
          <w:rtl/>
        </w:rPr>
        <w:t xml:space="preserve"> העוסקת בתביעה להפחתת מזונות תוך התייחסות לשאלת תחולת הלכת בע"מ 919/15. בפסק-הדין קבע כב' השופט נ. הנדל בפסקה 14 כהאי לישנא:</w:t>
      </w:r>
      <w:r>
        <w:rPr>
          <w:rFonts w:ascii="Arial" w:hAnsi="Arial"/>
          <w:rtl/>
        </w:rPr>
        <w:t xml:space="preserve"> </w:t>
      </w:r>
    </w:p>
    <w:p w:rsidR="00FF7E1B" w:rsidRDefault="00FF7E1B" w:rsidP="00FF7E1B">
      <w:pPr>
        <w:spacing w:line="360" w:lineRule="auto"/>
        <w:ind w:left="360"/>
        <w:jc w:val="both"/>
        <w:rPr>
          <w:rFonts w:ascii="David" w:hAnsi="David"/>
          <w:b/>
          <w:bCs/>
        </w:rPr>
      </w:pPr>
      <w:r>
        <w:rPr>
          <w:rFonts w:ascii="David" w:hAnsi="David"/>
          <w:b/>
          <w:bCs/>
          <w:rtl/>
        </w:rPr>
        <w:t>"בתביעות לשינוי מזונות שנקבעו בפסק דין חלוט טרם הלכת בע"מ 919/15 [פורסם בנבו] – אין מקום, לטעמי, להבחין בין מזונות שמקור חיובם הוא בפסק דין שנתן תוקף להסכם גירושין כולל; מזונות שמקורם בפסק דין שאישר הסכם שעניינו מזונות בלבד; ומזונות שנקבעו בפסק דין שניתן לאחר הליך משפטי. לפיכך, יש להידרש לתנאי בדבר שינוי מהותי בנסיבות בשלושת המקרים באופן דומה".</w:t>
      </w:r>
    </w:p>
    <w:p w:rsidR="00FF7E1B" w:rsidRDefault="00FF7E1B" w:rsidP="00FF7E1B">
      <w:pPr>
        <w:ind w:left="360"/>
        <w:jc w:val="both"/>
        <w:rPr>
          <w:rFonts w:ascii="David" w:hAnsi="David"/>
          <w:b/>
          <w:bCs/>
        </w:rPr>
      </w:pPr>
    </w:p>
    <w:p w:rsidR="00FF7E1B" w:rsidRDefault="00FF7E1B" w:rsidP="00FF7E1B">
      <w:pPr>
        <w:numPr>
          <w:ilvl w:val="0"/>
          <w:numId w:val="1"/>
        </w:numPr>
        <w:spacing w:after="160" w:line="360" w:lineRule="auto"/>
        <w:contextualSpacing/>
        <w:jc w:val="both"/>
        <w:rPr>
          <w:rFonts w:ascii="David" w:hAnsi="David"/>
          <w:rtl/>
        </w:rPr>
      </w:pPr>
      <w:r>
        <w:rPr>
          <w:rFonts w:ascii="David" w:hAnsi="David"/>
          <w:rtl/>
        </w:rPr>
        <w:t xml:space="preserve">בעמ"ש (מחוזי חיפה) 47200-12-20 </w:t>
      </w:r>
      <w:r>
        <w:rPr>
          <w:rFonts w:ascii="David" w:hAnsi="David"/>
          <w:b/>
          <w:bCs/>
          <w:rtl/>
        </w:rPr>
        <w:t>א. נ' ב.</w:t>
      </w:r>
      <w:r>
        <w:rPr>
          <w:rFonts w:ascii="David" w:hAnsi="David"/>
          <w:rtl/>
        </w:rPr>
        <w:t xml:space="preserve"> (פורסם במאגרים ביום 27.06.2021) קבע כבוד השופט גי'וסי : </w:t>
      </w:r>
      <w:r>
        <w:rPr>
          <w:rFonts w:ascii="David" w:hAnsi="David"/>
          <w:b/>
          <w:bCs/>
          <w:rtl/>
        </w:rPr>
        <w:t xml:space="preserve">"פסיקה עקבית וארוכת-שנים של בית המשפט העליון קבעה, כי פסק-דין </w:t>
      </w:r>
      <w:r>
        <w:rPr>
          <w:rFonts w:ascii="David" w:hAnsi="David"/>
          <w:b/>
          <w:bCs/>
          <w:rtl/>
        </w:rPr>
        <w:lastRenderedPageBreak/>
        <w:t>בסוגית מזונות אינו מהווה מעשה בית-דין באופן היוצר מחסום מוחלט בפני התדיינות חוזרת. לפיכך, דלתות בית המשפט תישארנה פתוחות בפני בקשה לשינוי דמי-המזונות, וזאת בכפוף לתנאי המפורש והדווקני, שחל שינוי מהותי בנסיבות, בהשוואה למצב שהיה קיים בנקודת המוצא, עת הוכרעה סוגיית המזונות לראשונה.  לעניין זה אף נקבע, כי אין כל שוני בין פסק-דין, שהושג על יסוד הסכמה בין הצדדים, לבין פסק-דין שהכריע בפלוגתאות על יסוד הראיות."</w:t>
      </w:r>
      <w:r>
        <w:rPr>
          <w:rFonts w:ascii="David" w:hAnsi="David"/>
          <w:rtl/>
        </w:rPr>
        <w:t xml:space="preserve"> </w:t>
      </w:r>
    </w:p>
    <w:p w:rsidR="00FF7E1B" w:rsidRDefault="00FF7E1B" w:rsidP="00FF7E1B">
      <w:pPr>
        <w:ind w:left="360"/>
        <w:contextualSpacing/>
        <w:jc w:val="both"/>
        <w:rPr>
          <w:rFonts w:ascii="David" w:hAnsi="David"/>
          <w:rtl/>
        </w:rPr>
      </w:pPr>
    </w:p>
    <w:p w:rsidR="00FF7E1B" w:rsidRDefault="00FF7E1B" w:rsidP="00FF7E1B">
      <w:pPr>
        <w:numPr>
          <w:ilvl w:val="0"/>
          <w:numId w:val="1"/>
        </w:numPr>
        <w:spacing w:after="160" w:line="360" w:lineRule="auto"/>
        <w:contextualSpacing/>
        <w:jc w:val="both"/>
        <w:rPr>
          <w:rFonts w:ascii="David" w:hAnsi="David"/>
          <w:rtl/>
        </w:rPr>
      </w:pPr>
      <w:r>
        <w:rPr>
          <w:rFonts w:ascii="David" w:hAnsi="David"/>
          <w:rtl/>
        </w:rPr>
        <w:t xml:space="preserve">בהלכה הפסוקה והמנחה שנקבעה בע"א 363/81 </w:t>
      </w:r>
      <w:r>
        <w:rPr>
          <w:rFonts w:ascii="David" w:hAnsi="David"/>
          <w:b/>
          <w:bCs/>
          <w:rtl/>
        </w:rPr>
        <w:t>פייגה נ' פייגה,</w:t>
      </w:r>
      <w:r>
        <w:rPr>
          <w:rFonts w:ascii="David" w:hAnsi="David"/>
          <w:rtl/>
        </w:rPr>
        <w:t xml:space="preserve"> פ"ד לו(3) 187 (להלן: </w:t>
      </w:r>
      <w:r>
        <w:rPr>
          <w:rFonts w:ascii="David" w:hAnsi="David"/>
          <w:b/>
          <w:bCs/>
          <w:rtl/>
        </w:rPr>
        <w:t>"עניין פייגה"</w:t>
      </w:r>
      <w:r>
        <w:rPr>
          <w:rFonts w:ascii="David" w:hAnsi="David"/>
          <w:rtl/>
        </w:rPr>
        <w:t xml:space="preserve">) נדונה שאלת הוכחת שינוי נסיבות מהותי ומה ייחשב ככזה, ונקבע כי ע"י כב' הנשיא בדימוס, השופט מ. שמגר ז"ל כדלקמן: </w:t>
      </w:r>
    </w:p>
    <w:p w:rsidR="00FF7E1B" w:rsidRDefault="00FF7E1B" w:rsidP="00FF7E1B">
      <w:pPr>
        <w:spacing w:line="360" w:lineRule="auto"/>
        <w:ind w:left="360"/>
        <w:jc w:val="both"/>
        <w:rPr>
          <w:rFonts w:ascii="David" w:hAnsi="David"/>
          <w:b/>
          <w:bCs/>
          <w:rtl/>
        </w:rPr>
      </w:pPr>
      <w:r>
        <w:rPr>
          <w:rFonts w:ascii="David" w:hAnsi="David"/>
          <w:b/>
          <w:bCs/>
          <w:rtl/>
        </w:rPr>
        <w:t xml:space="preserve">"לצורך העניין שלפנינו אין נפקא מינה, אם פסק הדין הקודם ניתן על יסוד הסכמה, אליה הגיעו הצדדים, או על יסוד הכרעה, המתבססת על העדויות, שנשמעו במשפט. בשני המקרים גם יחד תמה בכך ההתדיינות בין הצדדים בשלב הקודם האמור, ונקבע סכום המזונות, להם זכאי מי שתבע אותם. בכך גם נוצרה נקודת המוצא, הפסוקה לכל תביעה עתידה: כידוע,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w:t>
      </w:r>
      <w:r>
        <w:rPr>
          <w:rFonts w:ascii="David" w:hAnsi="David"/>
          <w:b/>
          <w:bCs/>
          <w:u w:val="single"/>
          <w:rtl/>
        </w:rPr>
        <w:t xml:space="preserve">ההלכה מגבילה ומצמצמת את הדיון החוזר, כאמור, רק לאותם מקרים, בהם חל שינוי מהותי בהשוואה למצב שבעבר. </w:t>
      </w:r>
      <w:r>
        <w:rPr>
          <w:rFonts w:ascii="David" w:hAnsi="David"/>
          <w:b/>
          <w:bCs/>
          <w:rtl/>
        </w:rPr>
        <w:t xml:space="preserve">שינוי בלתי משמעותי על תוצאותיו צריך להיספג על-ידי הצדדים להתדיינות הקודמת, והם חייבים להתאים עצמם למשמעותו, בלי לשוב ולפנות לערכאות". </w:t>
      </w:r>
      <w:r>
        <w:rPr>
          <w:rFonts w:ascii="David" w:hAnsi="David"/>
          <w:rtl/>
        </w:rPr>
        <w:t xml:space="preserve">( עוד ראו: בע"מ 3984/15 </w:t>
      </w:r>
      <w:r>
        <w:rPr>
          <w:rFonts w:ascii="David" w:hAnsi="David"/>
          <w:b/>
          <w:bCs/>
          <w:rtl/>
        </w:rPr>
        <w:t>פלונית נ' פלונית</w:t>
      </w:r>
      <w:r>
        <w:rPr>
          <w:rFonts w:ascii="David" w:hAnsi="David"/>
          <w:rtl/>
        </w:rPr>
        <w:t xml:space="preserve"> (13/6/2013) [פורסם במאגרים] פסקה כ"ה.</w:t>
      </w:r>
    </w:p>
    <w:p w:rsidR="00FF7E1B" w:rsidRDefault="00FF7E1B" w:rsidP="00FF7E1B">
      <w:pPr>
        <w:jc w:val="both"/>
        <w:rPr>
          <w:rFonts w:ascii="David" w:hAnsi="David"/>
          <w:b/>
          <w:bCs/>
        </w:rPr>
      </w:pPr>
    </w:p>
    <w:p w:rsidR="00FF7E1B" w:rsidRDefault="00FF7E1B" w:rsidP="00FF7E1B">
      <w:pPr>
        <w:numPr>
          <w:ilvl w:val="0"/>
          <w:numId w:val="1"/>
        </w:numPr>
        <w:spacing w:after="160" w:line="360" w:lineRule="auto"/>
        <w:contextualSpacing/>
        <w:jc w:val="both"/>
        <w:rPr>
          <w:rFonts w:ascii="David" w:hAnsi="David"/>
          <w:b/>
          <w:bCs/>
        </w:rPr>
      </w:pPr>
      <w:r>
        <w:rPr>
          <w:rFonts w:ascii="David" w:hAnsi="David"/>
          <w:rtl/>
        </w:rPr>
        <w:t xml:space="preserve">שינוי מהותי, כזה שיוכל להצדיק עיון מחדש בחיוב המזונות יכול להיות בצרכי הילדים, במצבם הבריאותי והמשפחתי של ההורים, בהשתכרותם ומצבם הכלכלי, בזמני שהות או נסיבות קשות וחריגות שנוצרו לאחר מתן פסק הדין, כגון סרבנות קשר של ילדים עם אביהם (ראו: בע"מ 3984/15 פלונית נ' פלוני (נבו 13.09.2016) בפסקה כ"ו וכן עניין פלונית). עוד נקבע שעל בית המשפט להביט על התמונה בכללותה ולבחון כל שינוי לגופו על פי השכל הישר, ניסיון החיים ופרטי המקרה (בע"מ 3148/07 </w:t>
      </w:r>
      <w:r>
        <w:rPr>
          <w:rFonts w:ascii="David" w:hAnsi="David"/>
          <w:b/>
          <w:bCs/>
          <w:rtl/>
        </w:rPr>
        <w:t>פלוני נ' פלוני</w:t>
      </w:r>
      <w:r>
        <w:rPr>
          <w:rFonts w:ascii="David" w:hAnsi="David"/>
          <w:rtl/>
        </w:rPr>
        <w:t xml:space="preserve"> (13/6/2007) [פורסם במאגרים]).</w:t>
      </w:r>
    </w:p>
    <w:p w:rsidR="00FF7E1B" w:rsidRDefault="00FF7E1B" w:rsidP="00FF7E1B">
      <w:pPr>
        <w:ind w:left="360"/>
        <w:contextualSpacing/>
        <w:jc w:val="both"/>
        <w:rPr>
          <w:rFonts w:ascii="David" w:hAnsi="David"/>
          <w:b/>
          <w:bCs/>
          <w:rtl/>
        </w:rPr>
      </w:pPr>
    </w:p>
    <w:p w:rsidR="00FF7E1B" w:rsidRDefault="00FF7E1B" w:rsidP="00FF7E1B">
      <w:pPr>
        <w:numPr>
          <w:ilvl w:val="0"/>
          <w:numId w:val="1"/>
        </w:numPr>
        <w:spacing w:after="160" w:line="360" w:lineRule="auto"/>
        <w:contextualSpacing/>
        <w:jc w:val="both"/>
        <w:rPr>
          <w:rFonts w:ascii="David" w:hAnsi="David"/>
          <w:b/>
          <w:bCs/>
          <w:rtl/>
        </w:rPr>
      </w:pPr>
      <w:r>
        <w:rPr>
          <w:rFonts w:ascii="David" w:hAnsi="David"/>
          <w:rtl/>
        </w:rPr>
        <w:t>באשר לתחולת הלכת בע"מ 919/15 על תביעה לשינוי חיוב במזונות נקבעו בבע"מ 7670/18 ארבעה עקרונות מנחים:</w:t>
      </w:r>
    </w:p>
    <w:p w:rsidR="00FF7E1B" w:rsidRDefault="00FF7E1B" w:rsidP="00FF7E1B">
      <w:pPr>
        <w:jc w:val="both"/>
        <w:rPr>
          <w:rFonts w:ascii="David" w:hAnsi="David"/>
          <w:highlight w:val="yellow"/>
          <w:rtl/>
        </w:rPr>
      </w:pPr>
    </w:p>
    <w:p w:rsidR="00FF7E1B" w:rsidRDefault="00FF7E1B" w:rsidP="00FF7E1B">
      <w:pPr>
        <w:numPr>
          <w:ilvl w:val="0"/>
          <w:numId w:val="5"/>
        </w:numPr>
        <w:spacing w:after="160" w:line="360" w:lineRule="auto"/>
        <w:contextualSpacing/>
        <w:jc w:val="both"/>
        <w:rPr>
          <w:rFonts w:ascii="David" w:hAnsi="David"/>
        </w:rPr>
      </w:pPr>
      <w:r>
        <w:rPr>
          <w:rFonts w:ascii="David" w:hAnsi="David"/>
          <w:rtl/>
        </w:rPr>
        <w:lastRenderedPageBreak/>
        <w:t>הלכת בע"מ 919/15 לכשעצמה אינה מהווה "שינוי נסיבות מהותי" המצדיק שינוי חיוב במזונות.</w:t>
      </w:r>
    </w:p>
    <w:p w:rsidR="00FF7E1B" w:rsidRDefault="00FF7E1B" w:rsidP="00FF7E1B">
      <w:pPr>
        <w:ind w:left="720"/>
        <w:contextualSpacing/>
        <w:jc w:val="both"/>
        <w:rPr>
          <w:rFonts w:ascii="David" w:hAnsi="David"/>
        </w:rPr>
      </w:pPr>
    </w:p>
    <w:p w:rsidR="00FF7E1B" w:rsidRDefault="00FF7E1B" w:rsidP="00FF7E1B">
      <w:pPr>
        <w:numPr>
          <w:ilvl w:val="0"/>
          <w:numId w:val="5"/>
        </w:numPr>
        <w:spacing w:after="160" w:line="360" w:lineRule="auto"/>
        <w:contextualSpacing/>
        <w:jc w:val="both"/>
        <w:rPr>
          <w:rFonts w:ascii="David" w:hAnsi="David"/>
        </w:rPr>
      </w:pPr>
      <w:r>
        <w:rPr>
          <w:rFonts w:ascii="David" w:hAnsi="David"/>
          <w:rtl/>
        </w:rPr>
        <w:t>ככל שבית המשפט מגיע למסקנה שהתקיים שינוי נסיבות מהותי כמשמעותו בפסיקה, המצדיק עיון מחודש בגובה המזונות, מן הראוי שעיון זה יעשה בהתאם להלכת בע"מ 919/15, שהרי מרגע שנגזר לקיים דיון מחודש בגובה המזונות, אין הצדקה לקיימו על פי דין ישן שאיננו נוהג עוד.</w:t>
      </w:r>
    </w:p>
    <w:p w:rsidR="00FF7E1B" w:rsidRDefault="00FF7E1B" w:rsidP="00FF7E1B">
      <w:pPr>
        <w:jc w:val="both"/>
        <w:rPr>
          <w:rFonts w:ascii="David" w:hAnsi="David"/>
          <w:rtl/>
        </w:rPr>
      </w:pPr>
    </w:p>
    <w:p w:rsidR="00FF7E1B" w:rsidRDefault="00FF7E1B" w:rsidP="00FF7E1B">
      <w:pPr>
        <w:numPr>
          <w:ilvl w:val="0"/>
          <w:numId w:val="5"/>
        </w:numPr>
        <w:spacing w:after="160" w:line="360" w:lineRule="auto"/>
        <w:contextualSpacing/>
        <w:jc w:val="both"/>
        <w:rPr>
          <w:rFonts w:ascii="David" w:hAnsi="David"/>
        </w:rPr>
      </w:pPr>
      <w:r>
        <w:rPr>
          <w:rFonts w:ascii="David" w:hAnsi="David"/>
          <w:rtl/>
        </w:rPr>
        <w:t>על בתי המשפט לשקול בזהירות ובקפדנות את השפעת השינוי המהותי ביחס לסכום המזונות שנקבע בעבר. המצב בעבר וקביעות בית המשפט בפסק דין קודם מהווים את נקודת המוצא המחייבת ועל הטוען לשינוי לעוד בנטל הוכחת השינוי מאותה נקודת מוצא.</w:t>
      </w:r>
    </w:p>
    <w:p w:rsidR="00FF7E1B" w:rsidRDefault="00FF7E1B" w:rsidP="00FF7E1B">
      <w:pPr>
        <w:spacing w:after="160"/>
        <w:contextualSpacing/>
        <w:jc w:val="both"/>
        <w:rPr>
          <w:rFonts w:ascii="David" w:hAnsi="David"/>
        </w:rPr>
      </w:pPr>
    </w:p>
    <w:p w:rsidR="00FF7E1B" w:rsidRDefault="00FF7E1B" w:rsidP="00FF7E1B">
      <w:pPr>
        <w:numPr>
          <w:ilvl w:val="0"/>
          <w:numId w:val="5"/>
        </w:numPr>
        <w:spacing w:after="160" w:line="360" w:lineRule="auto"/>
        <w:contextualSpacing/>
        <w:jc w:val="both"/>
        <w:rPr>
          <w:rFonts w:ascii="David" w:hAnsi="David"/>
          <w:rtl/>
        </w:rPr>
      </w:pPr>
      <w:r>
        <w:rPr>
          <w:rFonts w:ascii="David" w:hAnsi="David"/>
          <w:rtl/>
        </w:rPr>
        <w:t xml:space="preserve">ראוי לבחון </w:t>
      </w:r>
      <w:r>
        <w:rPr>
          <w:rFonts w:ascii="David" w:hAnsi="David"/>
          <w:b/>
          <w:bCs/>
          <w:rtl/>
        </w:rPr>
        <w:t>באופן מתוחם את הרכיב הפרטני שבו חל שינוי הנסיבות המהותי וביחס אליו בלבד להחיל את העקרונות שנקבעו בהלכת בע"מ 919/15 תוך חתירה ככל שניתן וככל שקיימת הצדקה לצמצום היקף ההתדיינות.</w:t>
      </w:r>
      <w:r>
        <w:rPr>
          <w:rFonts w:ascii="David" w:hAnsi="David"/>
          <w:rtl/>
        </w:rPr>
        <w:t xml:space="preserve"> ככל שמדובר בשינוי באחד ממרכיבי המזונות, אין מקום להחיל את הלכת בע"מ 919/15 ביחס לכלל סכום המזונות ולשנות באופן דרמטי את שיעור המזונות שהיה נהוג לאורך זמן אלא יש לבחון רק את השינוי שחל בפרמטר הפרטני בהתאם להלכת בע"מ 919/15 (פסקה 15, 16 לפסק דינו של השופט הנדל בבע"מ 7670/18 לעיל).</w:t>
      </w:r>
    </w:p>
    <w:p w:rsidR="00FF7E1B" w:rsidRDefault="00FF7E1B" w:rsidP="00FF7E1B">
      <w:pPr>
        <w:jc w:val="both"/>
        <w:rPr>
          <w:rFonts w:ascii="Arial" w:hAnsi="Arial"/>
          <w:b/>
          <w:bCs/>
          <w:sz w:val="28"/>
          <w:szCs w:val="28"/>
          <w:u w:val="single"/>
          <w:rtl/>
        </w:rPr>
      </w:pPr>
    </w:p>
    <w:p w:rsidR="00FF7E1B" w:rsidRDefault="00FF7E1B" w:rsidP="00FF7E1B">
      <w:pPr>
        <w:spacing w:line="360" w:lineRule="auto"/>
        <w:jc w:val="both"/>
        <w:rPr>
          <w:rFonts w:ascii="Arial" w:hAnsi="Arial"/>
          <w:b/>
          <w:bCs/>
          <w:sz w:val="28"/>
          <w:szCs w:val="28"/>
          <w:u w:val="single"/>
          <w:rtl/>
        </w:rPr>
      </w:pPr>
      <w:r>
        <w:rPr>
          <w:rFonts w:ascii="Arial" w:hAnsi="Arial"/>
          <w:b/>
          <w:bCs/>
          <w:sz w:val="28"/>
          <w:szCs w:val="28"/>
          <w:u w:val="single"/>
          <w:rtl/>
        </w:rPr>
        <w:t xml:space="preserve">בהתאמה, אבחן  את רכיבי המזונות בהם לטענת הנתבעת חל שינוי נסיבות המהותי, ובמידת הצורך, השפעתם על דמי המזונות שנקבעו; </w:t>
      </w:r>
    </w:p>
    <w:p w:rsidR="00FF7E1B" w:rsidRDefault="00FF7E1B" w:rsidP="00FF7E1B">
      <w:pPr>
        <w:jc w:val="both"/>
        <w:rPr>
          <w:rFonts w:ascii="Arial" w:hAnsi="Arial"/>
          <w:b/>
          <w:bCs/>
          <w:sz w:val="28"/>
          <w:szCs w:val="28"/>
          <w:u w:val="single"/>
          <w:rtl/>
        </w:rPr>
      </w:pPr>
    </w:p>
    <w:p w:rsidR="00FF7E1B" w:rsidRDefault="00FF7E1B" w:rsidP="00FF7E1B">
      <w:pPr>
        <w:rPr>
          <w:rFonts w:asciiTheme="minorHAnsi" w:eastAsiaTheme="minorHAnsi" w:hAnsiTheme="minorHAnsi" w:cstheme="minorBidi"/>
          <w:sz w:val="22"/>
          <w:szCs w:val="22"/>
        </w:rPr>
      </w:pPr>
      <w:r>
        <w:rPr>
          <w:rFonts w:ascii="David" w:hAnsi="David"/>
          <w:b/>
          <w:bCs/>
          <w:u w:val="single"/>
          <w:rtl/>
        </w:rPr>
        <w:t xml:space="preserve">שינוי בהוצאות המדור </w:t>
      </w:r>
      <w:r>
        <w:rPr>
          <w:rFonts w:ascii="David" w:hAnsi="David"/>
          <w:b/>
          <w:bCs/>
          <w:rtl/>
        </w:rPr>
        <w:t>;</w:t>
      </w:r>
    </w:p>
    <w:p w:rsidR="00FF7E1B" w:rsidRDefault="00FF7E1B" w:rsidP="00FF7E1B">
      <w:pPr>
        <w:rPr>
          <w:rFonts w:asciiTheme="minorHAnsi" w:eastAsiaTheme="minorHAnsi" w:hAnsiTheme="minorHAnsi" w:cstheme="minorBidi"/>
          <w:sz w:val="22"/>
          <w:szCs w:val="22"/>
          <w:rtl/>
        </w:rPr>
      </w:pPr>
    </w:p>
    <w:p w:rsidR="00FF7E1B" w:rsidRDefault="00FF7E1B" w:rsidP="00FF7E1B">
      <w:pPr>
        <w:pStyle w:val="aa"/>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לטענת הנתבעת, חל שינוי נסיבות בעלות המדור בו נושאת החל משנת 2017, שכן, כאשר תיטול הלוואת משכנתא, צפויה לשלם החזר חודשי גבוה פי שלושה מההחזר בו נושאת היום בסך 1,000 ₪. עוד מוסיפה שכיום אביה משלם את החזרי הלוואת גישור במקומה; אף מטענות הנתבעת עולה שכיום לא חל כל שינוי בעלויות המדור, וטענתה זו מבוססת על הלוואה אותה טרם נטלה, ולא ברור באם תיטול, ובהתאמה מה יהיה ההחזר החודשי. כך גם, הנתבעת לא צירפה כל אסמכתא, ולו ראשית ראייה ממנה ניתן ללמוד על טענותיה, לרבות הטענה ולפיה אביה משלם עבורה את החזרי הלוואת הגישור לה נדרשה לצורך תשלום לתובע עבור חלקו בנכס. מכאן, הנתבעת לא הוכיחה שינוי נסיבות לעניין זה, ודין טענתה להידחות.  </w:t>
      </w:r>
    </w:p>
    <w:p w:rsidR="00FF7E1B" w:rsidRDefault="00FF7E1B" w:rsidP="00FF7E1B">
      <w:pPr>
        <w:jc w:val="both"/>
        <w:rPr>
          <w:rFonts w:ascii="Arial" w:hAnsi="Arial"/>
          <w:b/>
          <w:bCs/>
          <w:u w:val="single"/>
          <w:rtl/>
        </w:rPr>
      </w:pPr>
    </w:p>
    <w:p w:rsidR="005534D5" w:rsidRDefault="005534D5" w:rsidP="00FF7E1B">
      <w:pPr>
        <w:jc w:val="both"/>
        <w:rPr>
          <w:rFonts w:ascii="Arial" w:hAnsi="Arial"/>
          <w:b/>
          <w:bCs/>
          <w:u w:val="single"/>
          <w:rtl/>
        </w:rPr>
      </w:pPr>
    </w:p>
    <w:p w:rsidR="005534D5" w:rsidRDefault="005534D5" w:rsidP="00FF7E1B">
      <w:pPr>
        <w:jc w:val="both"/>
        <w:rPr>
          <w:rFonts w:ascii="Arial" w:hAnsi="Arial"/>
          <w:b/>
          <w:bCs/>
          <w:u w:val="single"/>
          <w:rtl/>
        </w:rPr>
      </w:pPr>
    </w:p>
    <w:p w:rsidR="005534D5" w:rsidRDefault="005534D5" w:rsidP="00FF7E1B">
      <w:pPr>
        <w:jc w:val="both"/>
        <w:rPr>
          <w:rFonts w:ascii="Arial" w:hAnsi="Arial"/>
          <w:b/>
          <w:bCs/>
          <w:u w:val="single"/>
          <w:rtl/>
        </w:rPr>
      </w:pPr>
    </w:p>
    <w:p w:rsidR="005534D5" w:rsidRDefault="005534D5" w:rsidP="00FF7E1B">
      <w:pPr>
        <w:jc w:val="both"/>
        <w:rPr>
          <w:rFonts w:ascii="Arial" w:hAnsi="Arial"/>
          <w:b/>
          <w:bCs/>
          <w:u w:val="single"/>
        </w:rPr>
      </w:pPr>
    </w:p>
    <w:p w:rsidR="00FF7E1B" w:rsidRDefault="00FF7E1B" w:rsidP="00FF7E1B">
      <w:pPr>
        <w:spacing w:line="360" w:lineRule="auto"/>
        <w:jc w:val="both"/>
        <w:rPr>
          <w:rFonts w:ascii="Arial" w:hAnsi="Arial"/>
          <w:b/>
          <w:bCs/>
          <w:u w:val="single"/>
          <w:rtl/>
        </w:rPr>
      </w:pPr>
      <w:r>
        <w:rPr>
          <w:rFonts w:ascii="Arial" w:hAnsi="Arial"/>
          <w:b/>
          <w:bCs/>
          <w:u w:val="single"/>
          <w:rtl/>
        </w:rPr>
        <w:lastRenderedPageBreak/>
        <w:t>שינו במצבם הכלכלי של הצדדים;</w:t>
      </w:r>
    </w:p>
    <w:p w:rsidR="00FF7E1B" w:rsidRDefault="00FF7E1B" w:rsidP="00FF7E1B">
      <w:pPr>
        <w:jc w:val="both"/>
        <w:rPr>
          <w:rFonts w:ascii="Arial" w:hAnsi="Arial"/>
          <w:b/>
          <w:bCs/>
          <w:u w:val="single"/>
          <w:rtl/>
        </w:rPr>
      </w:pPr>
    </w:p>
    <w:p w:rsidR="00FF7E1B" w:rsidRDefault="00FF7E1B" w:rsidP="00FF7E1B">
      <w:pPr>
        <w:numPr>
          <w:ilvl w:val="0"/>
          <w:numId w:val="1"/>
        </w:numPr>
        <w:spacing w:after="160" w:line="360" w:lineRule="auto"/>
        <w:contextualSpacing/>
        <w:jc w:val="both"/>
        <w:rPr>
          <w:rFonts w:ascii="Arial" w:hAnsi="Arial"/>
          <w:rtl/>
        </w:rPr>
      </w:pPr>
      <w:r>
        <w:rPr>
          <w:rFonts w:ascii="Arial" w:hAnsi="Arial"/>
          <w:rtl/>
        </w:rPr>
        <w:t xml:space="preserve">לטענת הנתבעת, למן המועד בו גובשה ההסכמה, חלה התדרדרות במצבה הכלכלי, בעוד מצבו של התובע השתפר, והכנסותיו גדלו. גם טענה זו מצאתי לדחות; מעיון במסמכים שצרפה הנתבעת כמו גם למשמע עדותה בחקירתה לפניי, לא מצאתי שעלה בידיה להוכיח את שכרה הממוצע בסמוך למועד בו גובשה ההסכמה. כך גם הנתבעת לא צירפה כל אסמכתא לתמיכה בטענתה ולפיה במועד הגשת התביעה, הכנסתה נתקבלה מהבטחת הכנסה בסך 2,500 ₪. מבלי לפגוע באמור, עולה אי בהירות ביחס להכנסותיה כיום, ובפרט אלה המתקבלות מעסקה הפרטי.  </w:t>
      </w:r>
    </w:p>
    <w:p w:rsidR="00FF7E1B" w:rsidRDefault="00FF7E1B" w:rsidP="00FF7E1B">
      <w:pPr>
        <w:spacing w:after="160"/>
        <w:ind w:left="360"/>
        <w:contextualSpacing/>
        <w:jc w:val="both"/>
        <w:rPr>
          <w:rFonts w:ascii="Arial" w:hAnsi="Arial"/>
        </w:rPr>
      </w:pPr>
    </w:p>
    <w:p w:rsidR="00FF7E1B" w:rsidRDefault="00FF7E1B" w:rsidP="00FF7E1B">
      <w:pPr>
        <w:numPr>
          <w:ilvl w:val="0"/>
          <w:numId w:val="1"/>
        </w:numPr>
        <w:spacing w:after="160" w:line="360" w:lineRule="auto"/>
        <w:contextualSpacing/>
        <w:jc w:val="both"/>
        <w:rPr>
          <w:rFonts w:ascii="Arial" w:hAnsi="Arial"/>
        </w:rPr>
      </w:pPr>
      <w:r>
        <w:rPr>
          <w:rFonts w:ascii="Arial" w:hAnsi="Arial"/>
          <w:rtl/>
        </w:rPr>
        <w:t xml:space="preserve">כזכור, נטל ההוכחה רובץ לפתחה של הנתבעת (בהיותה התובעת בהליך), ובחובתה זו לא עמדה; הנתבעת נמנעה באופן עקבי מלהמציא מסמכים לגביהם ניתנה החלטה המורה לה לעשות כן, הדרושים לבירור המחלוקת וצריכים לבירור הכנסותיה, ולבסוף, נאותה להמציא חלקם, בשלבים שונים בהליך </w:t>
      </w:r>
      <w:r>
        <w:rPr>
          <w:rFonts w:ascii="Arial" w:hAnsi="Arial"/>
          <w:u w:val="single"/>
          <w:rtl/>
        </w:rPr>
        <w:t>(ר' החלטות מימים 3.3.21, 4.5.21, 10.1.22, 6.2.22, 27.3.22 ומיום 6.4.22)</w:t>
      </w:r>
      <w:r>
        <w:rPr>
          <w:rFonts w:ascii="Arial" w:hAnsi="Arial"/>
          <w:rtl/>
        </w:rPr>
        <w:t xml:space="preserve">. אף בסיכומיה לא סולק המחדל, ולא הומצאו מסמכים לתמיכה בטענותיה. </w:t>
      </w:r>
    </w:p>
    <w:p w:rsidR="00FF7E1B" w:rsidRDefault="00FF7E1B" w:rsidP="00FF7E1B">
      <w:pPr>
        <w:spacing w:after="160"/>
        <w:contextualSpacing/>
        <w:jc w:val="both"/>
        <w:rPr>
          <w:rFonts w:ascii="Arial" w:hAnsi="Arial"/>
        </w:rPr>
      </w:pPr>
    </w:p>
    <w:p w:rsidR="00FF7E1B" w:rsidRDefault="00FF7E1B" w:rsidP="005534D5">
      <w:pPr>
        <w:numPr>
          <w:ilvl w:val="0"/>
          <w:numId w:val="1"/>
        </w:numPr>
        <w:spacing w:after="160" w:line="360" w:lineRule="auto"/>
        <w:contextualSpacing/>
        <w:jc w:val="both"/>
        <w:rPr>
          <w:rFonts w:ascii="Arial" w:hAnsi="Arial"/>
        </w:rPr>
      </w:pPr>
      <w:r>
        <w:rPr>
          <w:rFonts w:ascii="Arial" w:hAnsi="Arial"/>
          <w:rtl/>
        </w:rPr>
        <w:t xml:space="preserve">התובע, אף בהיותו נתבע בהליך, הוא זה שפעל להמציא מסמכים מהם ניתן ללמוד על הכנסותיה. מאלה עולים הנתונים הבאים: </w:t>
      </w:r>
    </w:p>
    <w:p w:rsidR="00FF7E1B" w:rsidRDefault="00FF7E1B" w:rsidP="00FF7E1B">
      <w:pPr>
        <w:pStyle w:val="aa"/>
        <w:numPr>
          <w:ilvl w:val="0"/>
          <w:numId w:val="6"/>
        </w:numPr>
        <w:spacing w:line="360" w:lineRule="auto"/>
        <w:jc w:val="both"/>
        <w:rPr>
          <w:rFonts w:ascii="Arial" w:eastAsia="Times New Roman" w:hAnsi="Arial" w:cs="David"/>
          <w:sz w:val="24"/>
          <w:szCs w:val="24"/>
        </w:rPr>
      </w:pPr>
      <w:r>
        <w:rPr>
          <w:rFonts w:ascii="Arial" w:eastAsia="Times New Roman" w:hAnsi="Arial" w:cs="David"/>
          <w:sz w:val="24"/>
          <w:szCs w:val="24"/>
          <w:rtl/>
        </w:rPr>
        <w:t>על פי אישור "עוסק פטור" ע"ש הנתבעת, שצורף כנספח ט"ו לסיכומי התובעת, העסק אותו פתחה נרשם  ביום 17.2.2020.</w:t>
      </w:r>
    </w:p>
    <w:p w:rsidR="00FF7E1B" w:rsidRDefault="00FF7E1B" w:rsidP="00FF7E1B">
      <w:pPr>
        <w:pStyle w:val="aa"/>
        <w:numPr>
          <w:ilvl w:val="0"/>
          <w:numId w:val="6"/>
        </w:numPr>
        <w:spacing w:line="360" w:lineRule="auto"/>
        <w:jc w:val="both"/>
        <w:rPr>
          <w:rFonts w:ascii="Arial" w:eastAsia="Times New Roman" w:hAnsi="Arial" w:cs="David"/>
          <w:sz w:val="24"/>
          <w:szCs w:val="24"/>
        </w:rPr>
      </w:pPr>
      <w:r>
        <w:rPr>
          <w:rFonts w:ascii="Arial" w:eastAsia="Times New Roman" w:hAnsi="Arial" w:cs="David"/>
          <w:sz w:val="24"/>
          <w:szCs w:val="24"/>
          <w:rtl/>
        </w:rPr>
        <w:t>על פי דו"ח רווח והפסד לעסק שבבעלות הנתבעת לשנת 2020, שצורף כנספח י"ז לסיכומי התובע, הרווח הנקי הסתכם בסך 497 ₪.</w:t>
      </w:r>
    </w:p>
    <w:p w:rsidR="00FF7E1B" w:rsidRDefault="00FF7E1B" w:rsidP="00FF7E1B">
      <w:pPr>
        <w:pStyle w:val="aa"/>
        <w:numPr>
          <w:ilvl w:val="0"/>
          <w:numId w:val="6"/>
        </w:numPr>
        <w:spacing w:line="360" w:lineRule="auto"/>
        <w:jc w:val="both"/>
        <w:rPr>
          <w:rFonts w:ascii="Arial" w:eastAsia="Times New Roman" w:hAnsi="Arial" w:cs="David"/>
          <w:sz w:val="24"/>
          <w:szCs w:val="24"/>
        </w:rPr>
      </w:pPr>
      <w:r>
        <w:rPr>
          <w:rFonts w:ascii="Arial" w:eastAsia="Times New Roman" w:hAnsi="Arial" w:cs="David"/>
          <w:sz w:val="24"/>
          <w:szCs w:val="24"/>
          <w:rtl/>
        </w:rPr>
        <w:t>על פי ריכוז תשלומים מהמוסד לביטוח לאומי לשנת 2021 שצורף כנספח ט"ו לסיכומי התובע, הנתבעת קיבלה הבטחת הכנסה שנתית בסך 44,732 ₪ (קרי 3,727 ₪ לחודש) וקצבת ילדים ע"ס 2,132 ₪ (קרי 177 ₪ לחודש).</w:t>
      </w:r>
      <w:r>
        <w:rPr>
          <w:rFonts w:ascii="Arial" w:eastAsia="Times New Roman" w:hAnsi="Arial" w:cs="David"/>
          <w:b/>
          <w:bCs/>
          <w:sz w:val="24"/>
          <w:szCs w:val="24"/>
          <w:rtl/>
        </w:rPr>
        <w:t xml:space="preserve"> </w:t>
      </w:r>
    </w:p>
    <w:p w:rsidR="00FF7E1B" w:rsidRDefault="00FF7E1B" w:rsidP="00FF7E1B">
      <w:pPr>
        <w:pStyle w:val="aa"/>
        <w:numPr>
          <w:ilvl w:val="0"/>
          <w:numId w:val="6"/>
        </w:numPr>
        <w:spacing w:line="360" w:lineRule="auto"/>
        <w:jc w:val="both"/>
        <w:rPr>
          <w:rFonts w:ascii="Arial" w:eastAsia="Times New Roman" w:hAnsi="Arial" w:cs="David"/>
          <w:sz w:val="24"/>
          <w:szCs w:val="24"/>
        </w:rPr>
      </w:pPr>
      <w:r>
        <w:rPr>
          <w:rFonts w:ascii="Arial" w:eastAsia="Times New Roman" w:hAnsi="Arial" w:cs="David"/>
          <w:sz w:val="24"/>
          <w:szCs w:val="24"/>
          <w:rtl/>
        </w:rPr>
        <w:t>על פי דפי פירוט מחשבון הבנק שצורף כנספח כ' לסיכומי התובע, ממועד הגשת התביעה ועד מועד הגשת הסיכומים התקבלו בחשבונה של הנתבעת כספים ממקורות שונים, כדלקמן:</w:t>
      </w:r>
    </w:p>
    <w:p w:rsidR="00FF7E1B" w:rsidRDefault="00FF7E1B" w:rsidP="00FF7E1B">
      <w:pPr>
        <w:spacing w:line="360" w:lineRule="auto"/>
        <w:ind w:left="720"/>
        <w:contextualSpacing/>
        <w:jc w:val="both"/>
        <w:rPr>
          <w:rFonts w:ascii="Arial" w:hAnsi="Arial"/>
        </w:rPr>
      </w:pPr>
      <w:r>
        <w:rPr>
          <w:rFonts w:ascii="Arial" w:hAnsi="Arial"/>
          <w:rtl/>
        </w:rPr>
        <w:t xml:space="preserve">בחודש 11/20 התקבל סך כולל של 600 ₪ </w:t>
      </w:r>
    </w:p>
    <w:p w:rsidR="00FF7E1B" w:rsidRDefault="00FF7E1B" w:rsidP="00FF7E1B">
      <w:pPr>
        <w:spacing w:line="360" w:lineRule="auto"/>
        <w:ind w:left="720"/>
        <w:contextualSpacing/>
        <w:jc w:val="both"/>
        <w:rPr>
          <w:rFonts w:ascii="Arial" w:hAnsi="Arial"/>
          <w:rtl/>
        </w:rPr>
      </w:pPr>
      <w:r>
        <w:rPr>
          <w:rFonts w:ascii="Arial" w:hAnsi="Arial"/>
          <w:rtl/>
        </w:rPr>
        <w:t xml:space="preserve">בחודש 12/20 התקבל סך כולל של 2,650 ₪ </w:t>
      </w:r>
    </w:p>
    <w:p w:rsidR="00FF7E1B" w:rsidRDefault="00FF7E1B" w:rsidP="00FF7E1B">
      <w:pPr>
        <w:spacing w:line="360" w:lineRule="auto"/>
        <w:ind w:left="720"/>
        <w:contextualSpacing/>
        <w:jc w:val="both"/>
        <w:rPr>
          <w:rFonts w:ascii="Arial" w:hAnsi="Arial"/>
          <w:rtl/>
        </w:rPr>
      </w:pPr>
      <w:r>
        <w:rPr>
          <w:rFonts w:ascii="Arial" w:hAnsi="Arial"/>
          <w:rtl/>
        </w:rPr>
        <w:t>בחודש 01/21 התקבל מהמל"ל סך של 13,565 ₪ וממקורות שונים סך של 15,614 ₪.</w:t>
      </w:r>
    </w:p>
    <w:p w:rsidR="00FF7E1B" w:rsidRDefault="00FF7E1B" w:rsidP="00FF7E1B">
      <w:pPr>
        <w:spacing w:line="360" w:lineRule="auto"/>
        <w:ind w:left="720"/>
        <w:contextualSpacing/>
        <w:jc w:val="both"/>
        <w:rPr>
          <w:rFonts w:ascii="Arial" w:hAnsi="Arial"/>
          <w:rtl/>
        </w:rPr>
      </w:pPr>
      <w:r>
        <w:rPr>
          <w:rFonts w:ascii="Arial" w:hAnsi="Arial"/>
          <w:rtl/>
        </w:rPr>
        <w:t>בחודש 03/21 התקבל סך של 2,484 ₪.</w:t>
      </w:r>
    </w:p>
    <w:p w:rsidR="00FF7E1B" w:rsidRDefault="00FF7E1B" w:rsidP="00FF7E1B">
      <w:pPr>
        <w:spacing w:line="360" w:lineRule="auto"/>
        <w:ind w:left="720"/>
        <w:contextualSpacing/>
        <w:jc w:val="both"/>
        <w:rPr>
          <w:rFonts w:ascii="Arial" w:hAnsi="Arial"/>
        </w:rPr>
      </w:pPr>
      <w:r>
        <w:rPr>
          <w:rFonts w:ascii="Arial" w:hAnsi="Arial"/>
          <w:rtl/>
        </w:rPr>
        <w:t>בחודש 04/21 התקבל סך של 11,000 ₪.</w:t>
      </w:r>
    </w:p>
    <w:p w:rsidR="00FF7E1B" w:rsidRDefault="00FF7E1B" w:rsidP="00FF7E1B">
      <w:pPr>
        <w:spacing w:line="360" w:lineRule="auto"/>
        <w:ind w:left="720"/>
        <w:contextualSpacing/>
        <w:jc w:val="both"/>
        <w:rPr>
          <w:rFonts w:ascii="Arial" w:hAnsi="Arial"/>
        </w:rPr>
      </w:pPr>
      <w:r>
        <w:rPr>
          <w:rFonts w:ascii="Arial" w:hAnsi="Arial"/>
          <w:rtl/>
        </w:rPr>
        <w:t>בחודש 05/21 התקבל סך של 32,500 ₪.</w:t>
      </w:r>
    </w:p>
    <w:p w:rsidR="00FF7E1B" w:rsidRDefault="00FF7E1B" w:rsidP="00FF7E1B">
      <w:pPr>
        <w:spacing w:line="360" w:lineRule="auto"/>
        <w:ind w:left="720"/>
        <w:contextualSpacing/>
        <w:jc w:val="both"/>
        <w:rPr>
          <w:rFonts w:ascii="Arial" w:hAnsi="Arial"/>
        </w:rPr>
      </w:pPr>
      <w:r>
        <w:rPr>
          <w:rFonts w:ascii="Arial" w:hAnsi="Arial"/>
          <w:rtl/>
        </w:rPr>
        <w:lastRenderedPageBreak/>
        <w:t>בחודש 06/21 התקבל סך של 780 ₪.</w:t>
      </w:r>
    </w:p>
    <w:p w:rsidR="00FF7E1B" w:rsidRDefault="00FF7E1B" w:rsidP="00FF7E1B">
      <w:pPr>
        <w:pStyle w:val="aa"/>
        <w:numPr>
          <w:ilvl w:val="0"/>
          <w:numId w:val="6"/>
        </w:numPr>
        <w:spacing w:line="360" w:lineRule="auto"/>
        <w:jc w:val="both"/>
        <w:rPr>
          <w:rFonts w:ascii="Arial" w:eastAsia="Times New Roman" w:hAnsi="Arial" w:cs="David"/>
          <w:sz w:val="24"/>
          <w:szCs w:val="24"/>
          <w:rtl/>
        </w:rPr>
      </w:pPr>
      <w:r>
        <w:rPr>
          <w:rFonts w:ascii="Arial" w:eastAsia="Times New Roman" w:hAnsi="Arial" w:cs="David"/>
          <w:sz w:val="24"/>
          <w:szCs w:val="24"/>
          <w:rtl/>
        </w:rPr>
        <w:t>נכון לתאריך 31.3.21 חשבון הבנק שבבעלות הנתבעת נמצא ביתרת זכות בסך 22,443 ₪.</w:t>
      </w:r>
    </w:p>
    <w:p w:rsidR="00FF7E1B" w:rsidRDefault="00FF7E1B" w:rsidP="005534D5">
      <w:pPr>
        <w:numPr>
          <w:ilvl w:val="0"/>
          <w:numId w:val="1"/>
        </w:numPr>
        <w:spacing w:after="160" w:line="360" w:lineRule="auto"/>
        <w:contextualSpacing/>
        <w:jc w:val="both"/>
        <w:rPr>
          <w:rFonts w:ascii="Arial" w:hAnsi="Arial"/>
        </w:rPr>
      </w:pPr>
      <w:r>
        <w:rPr>
          <w:rFonts w:ascii="Arial" w:hAnsi="Arial"/>
          <w:rtl/>
        </w:rPr>
        <w:t xml:space="preserve">סיכום האמור שבחודשים ינואר- יוני 2021 התקבלו בידי הנתבעת כספים ממקורות שונים בסך 62,378 </w:t>
      </w:r>
      <w:r>
        <w:rPr>
          <w:rFonts w:ascii="David" w:hAnsi="David"/>
          <w:rtl/>
        </w:rPr>
        <w:t>₪</w:t>
      </w:r>
      <w:r>
        <w:rPr>
          <w:rFonts w:ascii="Arial" w:hAnsi="Arial"/>
          <w:rtl/>
        </w:rPr>
        <w:t xml:space="preserve"> </w:t>
      </w:r>
      <w:r>
        <w:rPr>
          <w:rFonts w:ascii="David" w:hAnsi="David"/>
          <w:rtl/>
        </w:rPr>
        <w:t xml:space="preserve">(לא כולל תשלום בסך 13,565 ₪ שנתקבל מאת המוסד לביטוח לאומי בחודש 01/21 ).  </w:t>
      </w:r>
      <w:r>
        <w:rPr>
          <w:rFonts w:ascii="Arial" w:hAnsi="Arial"/>
          <w:rtl/>
        </w:rPr>
        <w:t xml:space="preserve">בנוסף, התקבלו לזכותה כספים מאת המוסד לביטוח לאומי בסך של 28,460 ₪; מכאן, הכנסתה החודשית הממוצעת הינה 15,139 ₪. אציין, שגם באם לא תופסק זכאותה של הנתבעת לקצבת הבטחת הכנסה, עדיין, הכנסתה החודשית תהא כ- 12,000 ₪. </w:t>
      </w:r>
    </w:p>
    <w:p w:rsidR="00FF7E1B" w:rsidRDefault="00FF7E1B" w:rsidP="00FF7E1B">
      <w:pPr>
        <w:spacing w:after="160"/>
        <w:ind w:left="360"/>
        <w:contextualSpacing/>
        <w:jc w:val="both"/>
        <w:rPr>
          <w:rFonts w:ascii="Arial" w:hAnsi="Arial"/>
        </w:rPr>
      </w:pPr>
    </w:p>
    <w:p w:rsidR="00FF7E1B" w:rsidRDefault="00FF7E1B" w:rsidP="00FF7E1B">
      <w:pPr>
        <w:numPr>
          <w:ilvl w:val="0"/>
          <w:numId w:val="1"/>
        </w:numPr>
        <w:spacing w:after="160" w:line="360" w:lineRule="auto"/>
        <w:contextualSpacing/>
        <w:jc w:val="both"/>
        <w:rPr>
          <w:rFonts w:ascii="Arial" w:hAnsi="Arial"/>
        </w:rPr>
      </w:pPr>
      <w:r>
        <w:rPr>
          <w:rFonts w:ascii="Arial" w:hAnsi="Arial"/>
          <w:rtl/>
        </w:rPr>
        <w:t>בחקירתה הצהירה הנתבעת שבסמוך למועד בו ניתן פס"ד, עבדה והשתכרה בשכר חודשי בסך של כ- 9,000 ₪. וכך הצהירה (ר' עמ' 38 לפרוטוקול שו' 3-28):</w:t>
      </w:r>
    </w:p>
    <w:p w:rsidR="00FF7E1B" w:rsidRDefault="00FF7E1B" w:rsidP="005534D5">
      <w:pPr>
        <w:spacing w:line="360" w:lineRule="auto"/>
        <w:ind w:left="720"/>
        <w:rPr>
          <w:rFonts w:ascii="FrankRuehl" w:eastAsiaTheme="minorHAnsi" w:hAnsi="FrankRuehl" w:cs="FrankRuehl"/>
          <w:b/>
          <w:bCs/>
        </w:rPr>
      </w:pPr>
      <w:r>
        <w:rPr>
          <w:rFonts w:ascii="FrankRuehl" w:hAnsi="FrankRuehl" w:cs="FrankRuehl"/>
          <w:b/>
          <w:bCs/>
          <w:rtl/>
        </w:rPr>
        <w:t>"ש.</w:t>
      </w:r>
      <w:r>
        <w:rPr>
          <w:rFonts w:ascii="FrankRuehl" w:hAnsi="FrankRuehl" w:cs="FrankRuehl"/>
          <w:b/>
          <w:bCs/>
          <w:rtl/>
        </w:rPr>
        <w:tab/>
        <w:t>כמה השתכרת ב</w:t>
      </w:r>
      <w:r w:rsidR="005534D5">
        <w:rPr>
          <w:rFonts w:ascii="FrankRuehl" w:hAnsi="FrankRuehl" w:cs="FrankRuehl" w:hint="cs"/>
          <w:b/>
          <w:bCs/>
          <w:rtl/>
        </w:rPr>
        <w:t>***</w:t>
      </w:r>
      <w:r>
        <w:rPr>
          <w:rFonts w:ascii="FrankRuehl" w:hAnsi="FrankRuehl" w:cs="FrankRuehl"/>
          <w:b/>
          <w:bCs/>
          <w:rtl/>
        </w:rPr>
        <w:t xml:space="preserve">? </w:t>
      </w:r>
    </w:p>
    <w:p w:rsidR="00FF7E1B" w:rsidRDefault="00FF7E1B" w:rsidP="00FF7E1B">
      <w:pPr>
        <w:spacing w:line="360" w:lineRule="auto"/>
        <w:ind w:left="720"/>
        <w:rPr>
          <w:rFonts w:ascii="FrankRuehl" w:hAnsi="FrankRuehl" w:cs="FrankRuehl"/>
        </w:rPr>
      </w:pPr>
      <w:r>
        <w:rPr>
          <w:rFonts w:ascii="FrankRuehl" w:hAnsi="FrankRuehl" w:cs="FrankRuehl"/>
          <w:rtl/>
        </w:rPr>
        <w:t>ת.</w:t>
      </w:r>
      <w:r>
        <w:rPr>
          <w:rFonts w:ascii="FrankRuehl" w:hAnsi="FrankRuehl" w:cs="FrankRuehl"/>
          <w:rtl/>
        </w:rPr>
        <w:tab/>
        <w:t xml:space="preserve">9,500 ₪ בסוף. </w:t>
      </w:r>
    </w:p>
    <w:p w:rsidR="00FF7E1B" w:rsidRDefault="00FF7E1B" w:rsidP="00FF7E1B">
      <w:pPr>
        <w:spacing w:line="360" w:lineRule="auto"/>
        <w:ind w:left="720"/>
        <w:rPr>
          <w:rFonts w:ascii="FrankRuehl" w:hAnsi="FrankRuehl" w:cs="FrankRuehl"/>
          <w:b/>
          <w:bCs/>
          <w:rtl/>
        </w:rPr>
      </w:pPr>
      <w:r>
        <w:rPr>
          <w:rFonts w:ascii="FrankRuehl" w:hAnsi="FrankRuehl" w:cs="FrankRuehl"/>
          <w:b/>
          <w:bCs/>
          <w:rtl/>
        </w:rPr>
        <w:t>ש.</w:t>
      </w:r>
      <w:r>
        <w:rPr>
          <w:rFonts w:ascii="FrankRuehl" w:hAnsi="FrankRuehl" w:cs="FrankRuehl"/>
          <w:b/>
          <w:bCs/>
          <w:rtl/>
        </w:rPr>
        <w:tab/>
        <w:t>ברוטו או נטו?</w:t>
      </w:r>
    </w:p>
    <w:p w:rsidR="00FF7E1B" w:rsidRDefault="00FF7E1B" w:rsidP="00FF7E1B">
      <w:pPr>
        <w:spacing w:line="360" w:lineRule="auto"/>
        <w:ind w:left="720"/>
        <w:jc w:val="both"/>
        <w:rPr>
          <w:rFonts w:ascii="FrankRuehl" w:hAnsi="FrankRuehl" w:cs="FrankRuehl"/>
          <w:rtl/>
        </w:rPr>
      </w:pPr>
      <w:r>
        <w:rPr>
          <w:rFonts w:ascii="FrankRuehl" w:hAnsi="FrankRuehl" w:cs="FrankRuehl"/>
          <w:rtl/>
        </w:rPr>
        <w:t>ת.</w:t>
      </w:r>
      <w:r>
        <w:rPr>
          <w:rFonts w:ascii="FrankRuehl" w:hAnsi="FrankRuehl" w:cs="FrankRuehl"/>
          <w:rtl/>
        </w:rPr>
        <w:tab/>
        <w:t>נראה לי שזה היה נטו. 9,000 ₪, לא זוכרת בדיוק.</w:t>
      </w:r>
    </w:p>
    <w:p w:rsidR="00FF7E1B" w:rsidRDefault="00FF7E1B" w:rsidP="00FF7E1B">
      <w:pPr>
        <w:spacing w:line="360" w:lineRule="auto"/>
        <w:ind w:left="720"/>
        <w:jc w:val="both"/>
        <w:rPr>
          <w:rFonts w:ascii="FrankRuehl" w:hAnsi="FrankRuehl" w:cs="FrankRuehl"/>
          <w:b/>
          <w:bCs/>
          <w:rtl/>
        </w:rPr>
      </w:pPr>
      <w:r>
        <w:rPr>
          <w:rFonts w:ascii="FrankRuehl" w:hAnsi="FrankRuehl" w:cs="FrankRuehl"/>
          <w:b/>
          <w:bCs/>
          <w:rtl/>
        </w:rPr>
        <w:t>..</w:t>
      </w:r>
    </w:p>
    <w:p w:rsidR="00FF7E1B" w:rsidRDefault="00FF7E1B" w:rsidP="00FF7E1B">
      <w:pPr>
        <w:spacing w:line="360" w:lineRule="auto"/>
        <w:ind w:left="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את זוכרת להגיד  03/2017, כשעשינו את ההסדר בזמנו בפני השופט נאמן, איפה עבדת? </w:t>
      </w:r>
    </w:p>
    <w:p w:rsidR="00FF7E1B" w:rsidRDefault="00FF7E1B" w:rsidP="005534D5">
      <w:pPr>
        <w:spacing w:line="360" w:lineRule="auto"/>
        <w:ind w:left="720"/>
        <w:jc w:val="both"/>
        <w:rPr>
          <w:rFonts w:ascii="FrankRuehl" w:hAnsi="FrankRuehl" w:cs="FrankRuehl"/>
          <w:rtl/>
        </w:rPr>
      </w:pPr>
      <w:r>
        <w:rPr>
          <w:rFonts w:ascii="FrankRuehl" w:hAnsi="FrankRuehl" w:cs="FrankRuehl"/>
          <w:rtl/>
        </w:rPr>
        <w:t>ת.</w:t>
      </w:r>
      <w:r>
        <w:rPr>
          <w:rFonts w:ascii="FrankRuehl" w:hAnsi="FrankRuehl" w:cs="FrankRuehl"/>
          <w:rtl/>
        </w:rPr>
        <w:tab/>
        <w:t>03/2017 הייתי במיזם ב</w:t>
      </w:r>
      <w:r w:rsidR="005534D5">
        <w:rPr>
          <w:rFonts w:ascii="FrankRuehl" w:hAnsi="FrankRuehl" w:cs="FrankRuehl" w:hint="cs"/>
          <w:rtl/>
        </w:rPr>
        <w:t>***</w:t>
      </w:r>
      <w:r>
        <w:rPr>
          <w:rFonts w:ascii="FrankRuehl" w:hAnsi="FrankRuehl" w:cs="FrankRuehl"/>
          <w:rtl/>
        </w:rPr>
        <w:t>."</w:t>
      </w:r>
    </w:p>
    <w:p w:rsidR="00FF7E1B" w:rsidRDefault="00FF7E1B" w:rsidP="00FF7E1B">
      <w:pPr>
        <w:spacing w:line="360" w:lineRule="auto"/>
        <w:ind w:left="720"/>
        <w:jc w:val="both"/>
        <w:rPr>
          <w:rFonts w:ascii="FrankRuehl" w:hAnsi="FrankRuehl" w:cs="FrankRuehl"/>
          <w:rtl/>
        </w:rPr>
      </w:pPr>
    </w:p>
    <w:p w:rsidR="00FF7E1B" w:rsidRDefault="00FF7E1B" w:rsidP="00FF7E1B">
      <w:pPr>
        <w:pStyle w:val="aa"/>
        <w:numPr>
          <w:ilvl w:val="0"/>
          <w:numId w:val="1"/>
        </w:numPr>
        <w:spacing w:line="360" w:lineRule="auto"/>
        <w:jc w:val="both"/>
        <w:rPr>
          <w:rFonts w:ascii="David" w:hAnsi="David" w:cs="David"/>
          <w:sz w:val="24"/>
          <w:szCs w:val="24"/>
          <w:rtl/>
        </w:rPr>
      </w:pPr>
      <w:r>
        <w:rPr>
          <w:rFonts w:ascii="David" w:hAnsi="David" w:cs="David"/>
          <w:sz w:val="24"/>
          <w:szCs w:val="24"/>
          <w:rtl/>
        </w:rPr>
        <w:t>בנוסף, פוטנציאל השתכרותה של הנתבעת גדל, וכיום הינו גבוה לאור השכלתה הרחבה. וכפי שהצהירה לעניין זה בחקירתה (עמ' 37 לפרוטוקול שו' 9-27):</w:t>
      </w:r>
    </w:p>
    <w:p w:rsidR="00FF7E1B" w:rsidRDefault="00FF7E1B" w:rsidP="00FF7E1B">
      <w:pPr>
        <w:spacing w:line="360" w:lineRule="auto"/>
        <w:ind w:firstLine="720"/>
        <w:jc w:val="both"/>
        <w:rPr>
          <w:rFonts w:ascii="FrankRuehl" w:eastAsiaTheme="minorHAnsi" w:hAnsi="FrankRuehl" w:cs="FrankRuehl"/>
        </w:rPr>
      </w:pPr>
      <w:r>
        <w:rPr>
          <w:rFonts w:ascii="FrankRuehl" w:hAnsi="FrankRuehl" w:cs="FrankRuehl"/>
          <w:b/>
          <w:bCs/>
          <w:rtl/>
        </w:rPr>
        <w:t>"ש.</w:t>
      </w:r>
      <w:r>
        <w:rPr>
          <w:rFonts w:ascii="FrankRuehl" w:hAnsi="FrankRuehl" w:cs="FrankRuehl"/>
          <w:b/>
          <w:bCs/>
          <w:rtl/>
        </w:rPr>
        <w:tab/>
        <w:t>יש לך תואר שני בפסיכולוגיה?</w:t>
      </w:r>
    </w:p>
    <w:p w:rsidR="00FF7E1B" w:rsidRDefault="00FF7E1B" w:rsidP="00FF7E1B">
      <w:pPr>
        <w:spacing w:line="360" w:lineRule="auto"/>
        <w:ind w:firstLine="720"/>
        <w:jc w:val="both"/>
        <w:rPr>
          <w:rFonts w:ascii="FrankRuehl" w:hAnsi="FrankRuehl" w:cs="FrankRuehl"/>
        </w:rPr>
      </w:pPr>
      <w:r>
        <w:rPr>
          <w:rFonts w:ascii="FrankRuehl" w:hAnsi="FrankRuehl" w:cs="FrankRuehl"/>
          <w:rtl/>
        </w:rPr>
        <w:t>ת.</w:t>
      </w:r>
      <w:r>
        <w:rPr>
          <w:rFonts w:ascii="FrankRuehl" w:hAnsi="FrankRuehl" w:cs="FrankRuehl"/>
          <w:rtl/>
        </w:rPr>
        <w:tab/>
        <w:t xml:space="preserve">בעבודה סוציאלית. </w:t>
      </w:r>
    </w:p>
    <w:p w:rsidR="00FF7E1B" w:rsidRDefault="00FF7E1B" w:rsidP="00FF7E1B">
      <w:pPr>
        <w:spacing w:line="360" w:lineRule="auto"/>
        <w:ind w:firstLine="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מתי סיימת את התואר הראשון שלך?</w:t>
      </w:r>
    </w:p>
    <w:p w:rsidR="00FF7E1B" w:rsidRDefault="00FF7E1B" w:rsidP="00FF7E1B">
      <w:pPr>
        <w:spacing w:line="360" w:lineRule="auto"/>
        <w:ind w:firstLine="720"/>
        <w:jc w:val="both"/>
        <w:rPr>
          <w:rFonts w:ascii="FrankRuehl" w:hAnsi="FrankRuehl" w:cs="FrankRuehl"/>
          <w:rtl/>
        </w:rPr>
      </w:pPr>
      <w:r>
        <w:rPr>
          <w:rFonts w:ascii="FrankRuehl" w:hAnsi="FrankRuehl" w:cs="FrankRuehl"/>
          <w:rtl/>
        </w:rPr>
        <w:t>ת.</w:t>
      </w:r>
      <w:r>
        <w:rPr>
          <w:rFonts w:ascii="FrankRuehl" w:hAnsi="FrankRuehl" w:cs="FrankRuehl"/>
          <w:rtl/>
        </w:rPr>
        <w:tab/>
        <w:t xml:space="preserve">לפני 11 שנה. </w:t>
      </w:r>
    </w:p>
    <w:p w:rsidR="00FF7E1B" w:rsidRDefault="00FF7E1B" w:rsidP="00FF7E1B">
      <w:pPr>
        <w:spacing w:line="360" w:lineRule="auto"/>
        <w:ind w:firstLine="720"/>
        <w:jc w:val="both"/>
        <w:rPr>
          <w:rFonts w:ascii="FrankRuehl" w:hAnsi="FrankRuehl" w:cs="FrankRuehl"/>
          <w:b/>
          <w:bCs/>
        </w:rPr>
      </w:pPr>
      <w:r>
        <w:rPr>
          <w:rFonts w:ascii="FrankRuehl" w:hAnsi="FrankRuehl" w:cs="FrankRuehl"/>
          <w:b/>
          <w:bCs/>
          <w:rtl/>
        </w:rPr>
        <w:t>ש.</w:t>
      </w:r>
      <w:r>
        <w:rPr>
          <w:rFonts w:ascii="FrankRuehl" w:hAnsi="FrankRuehl" w:cs="FrankRuehl"/>
          <w:b/>
          <w:bCs/>
          <w:rtl/>
        </w:rPr>
        <w:tab/>
        <w:t xml:space="preserve">ואת השני, במהלך הנישואין? </w:t>
      </w:r>
    </w:p>
    <w:p w:rsidR="00FF7E1B" w:rsidRDefault="00FF7E1B" w:rsidP="00FF7E1B">
      <w:pPr>
        <w:spacing w:line="360" w:lineRule="auto"/>
        <w:ind w:firstLine="720"/>
        <w:jc w:val="both"/>
        <w:rPr>
          <w:rFonts w:ascii="FrankRuehl" w:hAnsi="FrankRuehl" w:cs="FrankRuehl"/>
          <w:rtl/>
        </w:rPr>
      </w:pPr>
      <w:r>
        <w:rPr>
          <w:rFonts w:ascii="FrankRuehl" w:hAnsi="FrankRuehl" w:cs="FrankRuehl"/>
          <w:rtl/>
        </w:rPr>
        <w:t>ת.</w:t>
      </w:r>
      <w:r>
        <w:rPr>
          <w:rFonts w:ascii="FrankRuehl" w:hAnsi="FrankRuehl" w:cs="FrankRuehl"/>
          <w:rtl/>
        </w:rPr>
        <w:tab/>
        <w:t xml:space="preserve">לא, התואר השני נראה לי שהיה שנה אחת אולי במהלך הנישואין. </w:t>
      </w:r>
    </w:p>
    <w:p w:rsidR="00FF7E1B" w:rsidRDefault="00FF7E1B" w:rsidP="00FF7E1B">
      <w:pPr>
        <w:spacing w:line="360" w:lineRule="auto"/>
        <w:ind w:firstLine="720"/>
        <w:jc w:val="both"/>
        <w:rPr>
          <w:rFonts w:ascii="FrankRuehl" w:hAnsi="FrankRuehl" w:cs="FrankRuehl"/>
          <w:b/>
          <w:bCs/>
        </w:rPr>
      </w:pPr>
      <w:r>
        <w:rPr>
          <w:rFonts w:ascii="FrankRuehl" w:hAnsi="FrankRuehl" w:cs="FrankRuehl"/>
          <w:b/>
          <w:bCs/>
          <w:rtl/>
        </w:rPr>
        <w:t>ש.</w:t>
      </w:r>
      <w:r>
        <w:rPr>
          <w:rFonts w:ascii="FrankRuehl" w:hAnsi="FrankRuehl" w:cs="FrankRuehl"/>
          <w:b/>
          <w:bCs/>
          <w:rtl/>
        </w:rPr>
        <w:tab/>
        <w:t xml:space="preserve">יש לך השכלה אקדמאית מעבר לתואר שני? </w:t>
      </w:r>
    </w:p>
    <w:p w:rsidR="00FF7E1B" w:rsidRDefault="00FF7E1B" w:rsidP="00FF7E1B">
      <w:pPr>
        <w:spacing w:line="360" w:lineRule="auto"/>
        <w:ind w:left="1440" w:hanging="720"/>
        <w:jc w:val="both"/>
        <w:rPr>
          <w:rFonts w:ascii="FrankRuehl" w:hAnsi="FrankRuehl" w:cs="FrankRuehl"/>
          <w:rtl/>
        </w:rPr>
      </w:pPr>
      <w:r>
        <w:rPr>
          <w:rFonts w:ascii="FrankRuehl" w:hAnsi="FrankRuehl" w:cs="FrankRuehl"/>
          <w:rtl/>
        </w:rPr>
        <w:t>ת.</w:t>
      </w:r>
      <w:r>
        <w:rPr>
          <w:rFonts w:ascii="FrankRuehl" w:hAnsi="FrankRuehl" w:cs="FrankRuehl"/>
          <w:rtl/>
        </w:rPr>
        <w:tab/>
        <w:t xml:space="preserve">למדתי מטפלת בסי.די.טי; למדתי הנדסאית אדריכלות, למדתי רפואה משלימה; הדרכת סטודנטים, עבודה סוציאלית, הדרכת עו"ס." </w:t>
      </w:r>
    </w:p>
    <w:p w:rsidR="00FF7E1B" w:rsidRDefault="00FF7E1B" w:rsidP="00FF7E1B">
      <w:pPr>
        <w:spacing w:line="360" w:lineRule="auto"/>
        <w:ind w:left="1440"/>
        <w:jc w:val="both"/>
        <w:rPr>
          <w:rFonts w:ascii="FrankRuehl" w:hAnsi="FrankRuehl" w:cs="FrankRuehl"/>
          <w:rtl/>
        </w:rPr>
      </w:pPr>
      <w:r>
        <w:rPr>
          <w:rFonts w:ascii="FrankRuehl" w:hAnsi="FrankRuehl" w:cs="FrankRuehl"/>
          <w:rtl/>
        </w:rPr>
        <w:t>...</w:t>
      </w:r>
    </w:p>
    <w:p w:rsidR="00FF7E1B" w:rsidRDefault="00FF7E1B" w:rsidP="00FF7E1B">
      <w:pPr>
        <w:spacing w:line="360" w:lineRule="auto"/>
        <w:ind w:firstLine="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במה את עובדת? </w:t>
      </w:r>
    </w:p>
    <w:p w:rsidR="00FF7E1B" w:rsidRDefault="00FF7E1B" w:rsidP="00FF7E1B">
      <w:pPr>
        <w:spacing w:line="360" w:lineRule="auto"/>
        <w:ind w:left="1440" w:hanging="720"/>
        <w:jc w:val="both"/>
        <w:rPr>
          <w:rFonts w:ascii="FrankRuehl" w:hAnsi="FrankRuehl" w:cs="FrankRuehl"/>
          <w:rtl/>
        </w:rPr>
      </w:pPr>
      <w:r>
        <w:rPr>
          <w:rFonts w:ascii="FrankRuehl" w:hAnsi="FrankRuehl" w:cs="FrankRuehl"/>
          <w:rtl/>
        </w:rPr>
        <w:t>ת.</w:t>
      </w:r>
      <w:r>
        <w:rPr>
          <w:rFonts w:ascii="FrankRuehl" w:hAnsi="FrankRuehl" w:cs="FrankRuehl"/>
          <w:rtl/>
        </w:rPr>
        <w:tab/>
        <w:t>לפני שנה פתחתי עסק, המטרה שלו לעשות סדנאות פרטניות. עוד משהו שלמדתי זה 4 שנים תודעת על לימודי רוח, אז העסק שלי בעצם משלב גם עבודה טיפולית, גם עבודה של אימון וגם עבודה של הרוח.</w:t>
      </w:r>
    </w:p>
    <w:p w:rsidR="00FF7E1B" w:rsidRDefault="00FF7E1B" w:rsidP="00FF7E1B">
      <w:pPr>
        <w:ind w:left="1440" w:hanging="720"/>
        <w:jc w:val="both"/>
        <w:rPr>
          <w:rFonts w:ascii="FrankRuehl" w:hAnsi="FrankRuehl" w:cs="FrankRuehl"/>
          <w:rtl/>
        </w:rPr>
      </w:pPr>
    </w:p>
    <w:p w:rsidR="00FF7E1B" w:rsidRDefault="00FF7E1B" w:rsidP="005534D5">
      <w:pPr>
        <w:numPr>
          <w:ilvl w:val="0"/>
          <w:numId w:val="1"/>
        </w:numPr>
        <w:spacing w:after="160" w:line="360" w:lineRule="auto"/>
        <w:contextualSpacing/>
        <w:jc w:val="both"/>
        <w:rPr>
          <w:rFonts w:asciiTheme="minorHAnsi" w:eastAsiaTheme="minorHAnsi" w:hAnsiTheme="minorHAnsi" w:cstheme="minorBidi"/>
          <w:sz w:val="22"/>
          <w:szCs w:val="22"/>
          <w:rtl/>
        </w:rPr>
      </w:pPr>
      <w:r>
        <w:rPr>
          <w:rFonts w:ascii="Arial" w:hAnsi="Arial"/>
          <w:rtl/>
        </w:rPr>
        <w:t xml:space="preserve">עוד מצאתי חוסר התאמה בין הכנסות הנתבעת להן טוענת, לבין הוצאותיה החודשיות להן טענה בסך 7,000 ₪ לחודש. כאשר נשאלה הנתבעת לעניין זה, גרסה כי </w:t>
      </w:r>
      <w:r>
        <w:rPr>
          <w:rFonts w:ascii="FrankRuehl" w:hAnsi="FrankRuehl" w:cs="FrankRuehl"/>
          <w:b/>
          <w:bCs/>
          <w:rtl/>
        </w:rPr>
        <w:t>"שברתי את התוכנית של ההשתלמות שלי – כ 30,000</w:t>
      </w:r>
      <w:r>
        <w:rPr>
          <w:rFonts w:ascii="Arial" w:hAnsi="Arial"/>
          <w:b/>
          <w:bCs/>
          <w:rtl/>
        </w:rPr>
        <w:t xml:space="preserve"> ₪."</w:t>
      </w:r>
      <w:r>
        <w:rPr>
          <w:rFonts w:ascii="Arial" w:hAnsi="Arial"/>
          <w:rtl/>
        </w:rPr>
        <w:t xml:space="preserve"> ובהמשך </w:t>
      </w:r>
      <w:r>
        <w:rPr>
          <w:rFonts w:ascii="FrankRuehl" w:hAnsi="FrankRuehl" w:cs="FrankRuehl"/>
          <w:b/>
          <w:bCs/>
          <w:rtl/>
        </w:rPr>
        <w:t>"יש לי הורים,  משפחה, שכל שבוע אבא שלי שואל אותי אם אני צריכה משהו ועושה לי קניות כשאני צריכה ונותן לי כסף כשאני צריכה.</w:t>
      </w:r>
      <w:r>
        <w:rPr>
          <w:rFonts w:ascii="Arial" w:hAnsi="Arial"/>
          <w:b/>
          <w:bCs/>
          <w:rtl/>
        </w:rPr>
        <w:t xml:space="preserve">" </w:t>
      </w:r>
      <w:r>
        <w:rPr>
          <w:rFonts w:ascii="Arial" w:hAnsi="Arial"/>
          <w:rtl/>
        </w:rPr>
        <w:t>(ר' עמ' 40 לפרוטוקול שו' 18-25).</w:t>
      </w:r>
      <w:r>
        <w:rPr>
          <w:rFonts w:asciiTheme="minorHAnsi" w:eastAsiaTheme="minorHAnsi" w:hAnsiTheme="minorHAnsi" w:cstheme="minorBidi"/>
          <w:sz w:val="22"/>
          <w:szCs w:val="22"/>
          <w:rtl/>
        </w:rPr>
        <w:t xml:space="preserve"> </w:t>
      </w:r>
      <w:r>
        <w:rPr>
          <w:rFonts w:ascii="David" w:eastAsiaTheme="minorHAnsi" w:hAnsi="David"/>
          <w:rtl/>
        </w:rPr>
        <w:t xml:space="preserve">ואולם, גם טענות אלה לא נתמכו בכל ראשית ראייה, על אף שניתן היה לעשות כן בנקל. </w:t>
      </w:r>
      <w:r>
        <w:rPr>
          <w:rFonts w:asciiTheme="minorHAnsi" w:eastAsiaTheme="minorHAnsi" w:hAnsiTheme="minorHAnsi" w:cstheme="minorBidi"/>
          <w:sz w:val="22"/>
          <w:szCs w:val="22"/>
          <w:rtl/>
        </w:rPr>
        <w:t xml:space="preserve"> </w:t>
      </w:r>
    </w:p>
    <w:p w:rsidR="00FF7E1B" w:rsidRDefault="00FF7E1B" w:rsidP="00FF7E1B">
      <w:pPr>
        <w:spacing w:after="160"/>
        <w:contextualSpacing/>
        <w:jc w:val="both"/>
        <w:rPr>
          <w:rFonts w:ascii="Arial" w:hAnsi="Arial"/>
        </w:rPr>
      </w:pPr>
    </w:p>
    <w:p w:rsidR="00FF7E1B" w:rsidRDefault="00FF7E1B" w:rsidP="00FF7E1B">
      <w:pPr>
        <w:numPr>
          <w:ilvl w:val="0"/>
          <w:numId w:val="1"/>
        </w:numPr>
        <w:spacing w:after="160" w:line="360" w:lineRule="auto"/>
        <w:contextualSpacing/>
        <w:jc w:val="both"/>
        <w:rPr>
          <w:rFonts w:ascii="Arial" w:hAnsi="Arial"/>
        </w:rPr>
      </w:pPr>
      <w:r>
        <w:rPr>
          <w:rFonts w:ascii="Arial" w:hAnsi="Arial"/>
          <w:rtl/>
        </w:rPr>
        <w:t xml:space="preserve">עיון במסמכים שצורפו ביחס להכנסות התובע מלמד שהכנסתה החודשית הממוצעת של הנתבעת גבוהה מהכנסתו הממוצעת, מקום בו הצדדים חולקים זמני שהות שוויוניים. אפרט את הכנסות התובע, כפי שהוצגו;  </w:t>
      </w:r>
    </w:p>
    <w:p w:rsidR="00FF7E1B" w:rsidRDefault="00FF7E1B" w:rsidP="00FF7E1B">
      <w:pPr>
        <w:pStyle w:val="aa"/>
        <w:numPr>
          <w:ilvl w:val="0"/>
          <w:numId w:val="6"/>
        </w:numPr>
        <w:spacing w:line="360" w:lineRule="auto"/>
        <w:jc w:val="both"/>
        <w:rPr>
          <w:rFonts w:ascii="David" w:hAnsi="David" w:cs="David"/>
          <w:sz w:val="24"/>
          <w:szCs w:val="24"/>
        </w:rPr>
      </w:pPr>
      <w:r>
        <w:rPr>
          <w:rFonts w:ascii="David" w:hAnsi="David" w:cs="David"/>
          <w:sz w:val="24"/>
          <w:szCs w:val="24"/>
          <w:rtl/>
        </w:rPr>
        <w:t xml:space="preserve">על פי שומות מס, הכנסתו השנתית בשנת 2017 104,234 ₪ (8,686 ₪ לחודש);  בשנת 2018  105,572 ₪ (8,797 ₪ לחודש);  בשנת 2019 ע"ס 109,969 ₪ (9,164 ₪ לחודש); בשנת 2020 ע"ס 94,669 ₪ ( 7,889 ₪ לחודש). </w:t>
      </w:r>
    </w:p>
    <w:p w:rsidR="00FF7E1B" w:rsidRDefault="00FF7E1B" w:rsidP="00FF7E1B">
      <w:pPr>
        <w:pStyle w:val="aa"/>
        <w:numPr>
          <w:ilvl w:val="0"/>
          <w:numId w:val="6"/>
        </w:numPr>
        <w:spacing w:line="360" w:lineRule="auto"/>
        <w:jc w:val="both"/>
        <w:rPr>
          <w:rFonts w:ascii="Arial" w:eastAsia="Times New Roman" w:hAnsi="Arial" w:cs="David"/>
          <w:sz w:val="24"/>
          <w:szCs w:val="24"/>
        </w:rPr>
      </w:pPr>
      <w:r>
        <w:rPr>
          <w:rFonts w:ascii="Arial" w:eastAsia="Times New Roman" w:hAnsi="Arial" w:cs="David"/>
          <w:sz w:val="24"/>
          <w:szCs w:val="24"/>
          <w:rtl/>
        </w:rPr>
        <w:t xml:space="preserve">על פי דפי הפירוט מחשבון הבנק, מחודש 05/20 ועד 01/21, התקבלו בחשבונו כספים מהמל"ל ומרשויות המדינה בסך כולל של </w:t>
      </w:r>
      <w:r>
        <w:rPr>
          <w:rFonts w:ascii="Arial" w:eastAsia="Times New Roman" w:hAnsi="Arial" w:cs="David"/>
          <w:b/>
          <w:bCs/>
          <w:sz w:val="24"/>
          <w:szCs w:val="24"/>
          <w:rtl/>
        </w:rPr>
        <w:t>31,242 ₪</w:t>
      </w:r>
      <w:r>
        <w:rPr>
          <w:rFonts w:ascii="Arial" w:eastAsia="Times New Roman" w:hAnsi="Arial" w:cs="David"/>
          <w:sz w:val="24"/>
          <w:szCs w:val="24"/>
          <w:rtl/>
        </w:rPr>
        <w:t xml:space="preserve"> ובנוסף, ממקורות שונים סך כולל של</w:t>
      </w:r>
      <w:r>
        <w:rPr>
          <w:rFonts w:ascii="Arial" w:eastAsia="Times New Roman" w:hAnsi="Arial" w:cs="David"/>
          <w:b/>
          <w:bCs/>
          <w:sz w:val="24"/>
          <w:szCs w:val="24"/>
          <w:rtl/>
        </w:rPr>
        <w:t xml:space="preserve"> 13,410 ₪. </w:t>
      </w:r>
    </w:p>
    <w:p w:rsidR="00FF7E1B" w:rsidRDefault="00FF7E1B" w:rsidP="00FF7E1B">
      <w:pPr>
        <w:numPr>
          <w:ilvl w:val="0"/>
          <w:numId w:val="7"/>
        </w:numPr>
        <w:spacing w:after="160" w:line="360" w:lineRule="auto"/>
        <w:jc w:val="both"/>
        <w:rPr>
          <w:rFonts w:ascii="Arial" w:hAnsi="Arial"/>
        </w:rPr>
      </w:pPr>
      <w:r>
        <w:rPr>
          <w:rFonts w:ascii="Arial" w:hAnsi="Arial"/>
          <w:rtl/>
        </w:rPr>
        <w:t>נכון לתאריך 8.1.21 חשבון הבנק שבבעלותו נמצא ביתרת זכות  בסך 19,164 ₪.</w:t>
      </w:r>
    </w:p>
    <w:p w:rsidR="00FF7E1B" w:rsidRDefault="00FF7E1B" w:rsidP="00FF7E1B">
      <w:pPr>
        <w:numPr>
          <w:ilvl w:val="0"/>
          <w:numId w:val="7"/>
        </w:numPr>
        <w:spacing w:after="160" w:line="360" w:lineRule="auto"/>
        <w:jc w:val="both"/>
        <w:rPr>
          <w:rFonts w:ascii="Arial" w:hAnsi="Arial"/>
        </w:rPr>
      </w:pPr>
      <w:r>
        <w:rPr>
          <w:rFonts w:ascii="Arial" w:hAnsi="Arial"/>
          <w:rtl/>
        </w:rPr>
        <w:t xml:space="preserve">על פי הסכם מכר (נספח לו לסיכומיו) ביום 13.8.2020 מכר את דירתו שקיבל מירושת משפחתו תמורת 43,000 $ דולר אמריקאי. סכום זה התחלק בינו לביו אחיו. כמו כן, עד ליום המכירה קיבל דמי שכירות חודשיים בסך 500 ₪.  </w:t>
      </w:r>
    </w:p>
    <w:p w:rsidR="00FF7E1B" w:rsidRDefault="00FF7E1B" w:rsidP="00FF7E1B">
      <w:pPr>
        <w:numPr>
          <w:ilvl w:val="0"/>
          <w:numId w:val="1"/>
        </w:numPr>
        <w:spacing w:after="160" w:line="360" w:lineRule="auto"/>
        <w:contextualSpacing/>
        <w:jc w:val="both"/>
        <w:rPr>
          <w:rFonts w:ascii="David" w:eastAsiaTheme="minorHAnsi" w:hAnsi="David"/>
        </w:rPr>
      </w:pPr>
      <w:r>
        <w:rPr>
          <w:rFonts w:ascii="David" w:eastAsiaTheme="minorHAnsi" w:hAnsi="David"/>
          <w:rtl/>
        </w:rPr>
        <w:t xml:space="preserve">מכל המפורט לעיל, מצאתי לקבוע שלא עלה בידי הנתבעת להוכיח שחל כל שינוי לרעה בהכנסותיה ובמצבה הכלכלי, תוך שאף התרשמתי שהכנסתה החודשית גדלה, באופן משמעותי; </w:t>
      </w:r>
      <w:r>
        <w:rPr>
          <w:rFonts w:ascii="Arial" w:hAnsi="Arial"/>
          <w:rtl/>
        </w:rPr>
        <w:t xml:space="preserve">כמו כן, לא עלה בידי הנתבעת להוכיח שחלה הטבה במצבו הכלכלי של התובע, ובכלל זה שהכנסתו החודשית גדלה או שהכנסתו מעבודה פרטית לא הוצגה, כפי שטענה. </w:t>
      </w:r>
    </w:p>
    <w:p w:rsidR="005534D5" w:rsidRDefault="005534D5" w:rsidP="005534D5">
      <w:pPr>
        <w:spacing w:after="160" w:line="360" w:lineRule="auto"/>
        <w:ind w:left="360"/>
        <w:contextualSpacing/>
        <w:jc w:val="both"/>
        <w:rPr>
          <w:rFonts w:ascii="David" w:eastAsiaTheme="minorHAnsi" w:hAnsi="David"/>
        </w:rPr>
      </w:pPr>
    </w:p>
    <w:p w:rsidR="00FF7E1B" w:rsidRDefault="00FF7E1B" w:rsidP="00FF7E1B">
      <w:pPr>
        <w:spacing w:line="360" w:lineRule="auto"/>
        <w:jc w:val="both"/>
        <w:rPr>
          <w:rFonts w:ascii="Arial" w:hAnsi="Arial"/>
          <w:b/>
          <w:bCs/>
          <w:u w:val="single"/>
        </w:rPr>
      </w:pPr>
      <w:r>
        <w:rPr>
          <w:rFonts w:ascii="Arial" w:hAnsi="Arial"/>
          <w:b/>
          <w:bCs/>
          <w:u w:val="single"/>
          <w:rtl/>
        </w:rPr>
        <w:t>זמני השהות ;</w:t>
      </w:r>
    </w:p>
    <w:p w:rsidR="00FF7E1B" w:rsidRDefault="00FF7E1B" w:rsidP="00FF7E1B">
      <w:pPr>
        <w:spacing w:line="252" w:lineRule="auto"/>
        <w:ind w:left="720"/>
        <w:contextualSpacing/>
        <w:rPr>
          <w:rFonts w:ascii="Arial" w:hAnsi="Arial" w:cs="Arial"/>
          <w:sz w:val="22"/>
          <w:szCs w:val="22"/>
          <w:highlight w:val="yellow"/>
        </w:rPr>
      </w:pPr>
    </w:p>
    <w:p w:rsidR="00FF7E1B" w:rsidRDefault="00FF7E1B" w:rsidP="00FF7E1B">
      <w:pPr>
        <w:numPr>
          <w:ilvl w:val="0"/>
          <w:numId w:val="1"/>
        </w:numPr>
        <w:spacing w:after="160" w:line="360" w:lineRule="auto"/>
        <w:contextualSpacing/>
        <w:jc w:val="both"/>
        <w:rPr>
          <w:rFonts w:ascii="Arial" w:hAnsi="Arial"/>
        </w:rPr>
      </w:pPr>
      <w:r>
        <w:rPr>
          <w:rFonts w:ascii="Arial" w:hAnsi="Arial"/>
          <w:rtl/>
        </w:rPr>
        <w:t>כידוע, לשינוי מהותי בזמני השהות השפעה על גובה דמי המזונות. ראה לעניין זה דבריו של כבוד השופט סארי ג'יוסי [אב"ד] עמ"ש (מחוזי חיפה) 47200-12-20</w:t>
      </w:r>
      <w:r>
        <w:rPr>
          <w:rFonts w:ascii="Arial" w:hAnsi="Arial"/>
          <w:b/>
          <w:bCs/>
          <w:rtl/>
        </w:rPr>
        <w:t xml:space="preserve"> א. נ' ב. </w:t>
      </w:r>
      <w:r>
        <w:rPr>
          <w:rFonts w:ascii="Arial" w:hAnsi="Arial"/>
          <w:rtl/>
        </w:rPr>
        <w:t xml:space="preserve">(נבו 27.06.2021) שם קבע; </w:t>
      </w:r>
      <w:r>
        <w:rPr>
          <w:rFonts w:ascii="Arial" w:hAnsi="Arial"/>
          <w:b/>
          <w:bCs/>
          <w:rtl/>
        </w:rPr>
        <w:t xml:space="preserve"> "בענייננו יש לקבוע את גובה דמי-המזונות בהם על המערער לשאת, בפריזמה של השינוי שחל מאז מועד מתן פסק-הדין הראשון בעניינם של הצדדים, וזאת כשהשינוי התחולל בשל הפסקת הסדרי-השהות של המערער עם הקטין."</w:t>
      </w:r>
    </w:p>
    <w:p w:rsidR="00FF7E1B" w:rsidRDefault="00FF7E1B" w:rsidP="00FF7E1B">
      <w:pPr>
        <w:spacing w:after="160"/>
        <w:ind w:left="360"/>
        <w:contextualSpacing/>
        <w:jc w:val="both"/>
        <w:rPr>
          <w:rFonts w:ascii="Arial" w:hAnsi="Arial"/>
        </w:rPr>
      </w:pPr>
    </w:p>
    <w:p w:rsidR="00FF7E1B" w:rsidRDefault="00FF7E1B" w:rsidP="005534D5">
      <w:pPr>
        <w:numPr>
          <w:ilvl w:val="0"/>
          <w:numId w:val="1"/>
        </w:numPr>
        <w:spacing w:after="160" w:line="360" w:lineRule="auto"/>
        <w:contextualSpacing/>
        <w:jc w:val="both"/>
        <w:rPr>
          <w:rFonts w:ascii="Arial" w:hAnsi="Arial"/>
          <w:rtl/>
        </w:rPr>
      </w:pPr>
      <w:r>
        <w:rPr>
          <w:rFonts w:ascii="Arial" w:hAnsi="Arial"/>
          <w:rtl/>
        </w:rPr>
        <w:lastRenderedPageBreak/>
        <w:t xml:space="preserve">בהתאם להסכמות משנת 2017, הצדדים חלקו משמורת משותפת, תוך שהסכימו שיהיו קשובים לצרכי הקטינים, ונוכח גילם, יאפשרו להם ללון היכן שירצו. הנתבעת אישרה בחקירתה שטובת הקטינים, אגב כיבוד רצונם, היא שעמדה בבסיס ההסכמה, ועל כן הוסכם שהקטינים יוכלו לנוע בין הבתים באופן חופשי (ראה עדותה עמ' 41 - 42). נוכח הסכמתם זו של הצדדים, אשר בהתאם לה, לא הוגדרה חלוקת זמנים ספציפית, ובצדק, הנתבעת אינה יכולה להעלות טענות הקשורות בחלוקת הזמנים שהייתה נהוגה בפועל, אף אם זו לא הייתה שווה. אמנם, התובע אישר שבחצי השנה האחרונה עובר לדיון, הבת </w:t>
      </w:r>
      <w:r w:rsidR="005534D5">
        <w:rPr>
          <w:rFonts w:ascii="Arial" w:hAnsi="Arial" w:hint="cs"/>
          <w:rtl/>
        </w:rPr>
        <w:t xml:space="preserve">*** </w:t>
      </w:r>
      <w:r>
        <w:rPr>
          <w:rFonts w:ascii="Arial" w:hAnsi="Arial"/>
          <w:rtl/>
        </w:rPr>
        <w:t xml:space="preserve">לנה בבית הנתבעת יותר מאשר בביתו (ר' עמ' 53 שו 1-5), ואולם, במועד זה הבת </w:t>
      </w:r>
      <w:r w:rsidR="005534D5">
        <w:rPr>
          <w:rFonts w:ascii="Arial" w:hAnsi="Arial" w:hint="cs"/>
          <w:rtl/>
        </w:rPr>
        <w:t xml:space="preserve">*** </w:t>
      </w:r>
      <w:r>
        <w:rPr>
          <w:rFonts w:ascii="Arial" w:hAnsi="Arial"/>
          <w:rtl/>
        </w:rPr>
        <w:t>לא הייתה קטינה, ובנוסף, נוכח טיבה של ההסכמה, אשר בבסיסה עמדת כוונת הצדדים לאפשר לקטינים תנועה חופשית בין הבתים, אין מקום לראות בכך כל שינוי נסיבות.</w:t>
      </w:r>
    </w:p>
    <w:p w:rsidR="00FF7E1B" w:rsidRDefault="00FF7E1B" w:rsidP="00FF7E1B">
      <w:pPr>
        <w:spacing w:line="252" w:lineRule="auto"/>
        <w:ind w:left="720"/>
        <w:contextualSpacing/>
        <w:rPr>
          <w:rFonts w:ascii="Arial" w:hAnsi="Arial" w:cs="Arial"/>
          <w:sz w:val="22"/>
          <w:szCs w:val="22"/>
        </w:rPr>
      </w:pPr>
    </w:p>
    <w:p w:rsidR="00FF7E1B" w:rsidRDefault="00FF7E1B" w:rsidP="00FF7E1B">
      <w:pPr>
        <w:numPr>
          <w:ilvl w:val="0"/>
          <w:numId w:val="1"/>
        </w:numPr>
        <w:spacing w:after="160" w:line="360" w:lineRule="auto"/>
        <w:contextualSpacing/>
        <w:jc w:val="both"/>
        <w:rPr>
          <w:rFonts w:ascii="David" w:hAnsi="David"/>
          <w:b/>
          <w:bCs/>
        </w:rPr>
      </w:pPr>
      <w:r>
        <w:rPr>
          <w:rFonts w:ascii="David" w:hAnsi="David"/>
          <w:rtl/>
        </w:rPr>
        <w:t xml:space="preserve">מכאן, לאחר שעיינתי בטענות הצדדים לאורך השנים ובמסגרת ההליכים השונים, מצאתי שגם בשאלת זמני השהות לא עלה בידי הנתבעת להוכיח  שחל כל שינוי, ואלה התקיימו משך השנים  בהתאם להסכמת הצדדים.  </w:t>
      </w:r>
    </w:p>
    <w:p w:rsidR="00FF7E1B" w:rsidRDefault="00FF7E1B" w:rsidP="00FF7E1B">
      <w:pPr>
        <w:pStyle w:val="aa"/>
        <w:spacing w:line="360" w:lineRule="auto"/>
        <w:ind w:left="0"/>
        <w:jc w:val="both"/>
        <w:rPr>
          <w:rFonts w:ascii="David" w:hAnsi="David" w:cs="David"/>
          <w:b/>
          <w:bCs/>
          <w:sz w:val="32"/>
          <w:szCs w:val="32"/>
          <w:u w:val="single"/>
        </w:rPr>
      </w:pPr>
      <w:r>
        <w:rPr>
          <w:rFonts w:ascii="David" w:hAnsi="David" w:cs="David"/>
          <w:b/>
          <w:bCs/>
          <w:sz w:val="32"/>
          <w:szCs w:val="32"/>
          <w:u w:val="single"/>
          <w:rtl/>
        </w:rPr>
        <w:t>סוף דבר;</w:t>
      </w:r>
    </w:p>
    <w:p w:rsidR="00FF7E1B" w:rsidRDefault="00FF7E1B" w:rsidP="00FF7E1B">
      <w:pPr>
        <w:pStyle w:val="aa"/>
        <w:spacing w:line="240" w:lineRule="auto"/>
        <w:ind w:left="0"/>
        <w:jc w:val="both"/>
        <w:rPr>
          <w:rFonts w:ascii="David" w:hAnsi="David" w:cs="David"/>
          <w:b/>
          <w:bCs/>
          <w:sz w:val="32"/>
          <w:szCs w:val="32"/>
          <w:u w:val="single"/>
          <w:rtl/>
        </w:rPr>
      </w:pPr>
    </w:p>
    <w:p w:rsidR="00FF7E1B" w:rsidRDefault="00FF7E1B" w:rsidP="00FF7E1B">
      <w:pPr>
        <w:pStyle w:val="aa"/>
        <w:numPr>
          <w:ilvl w:val="0"/>
          <w:numId w:val="8"/>
        </w:numPr>
        <w:spacing w:after="0" w:line="360" w:lineRule="auto"/>
        <w:jc w:val="both"/>
        <w:rPr>
          <w:rFonts w:ascii="Arial" w:eastAsia="Times New Roman" w:hAnsi="Arial" w:cs="David"/>
          <w:sz w:val="24"/>
          <w:szCs w:val="24"/>
          <w:rtl/>
        </w:rPr>
      </w:pPr>
      <w:r>
        <w:rPr>
          <w:rFonts w:ascii="David" w:eastAsia="Times New Roman" w:hAnsi="David" w:cs="David"/>
          <w:sz w:val="24"/>
          <w:szCs w:val="24"/>
          <w:rtl/>
        </w:rPr>
        <w:t>תביעת התובע לחיוב הנתבעת בדמי שימוש (</w:t>
      </w:r>
      <w:r>
        <w:rPr>
          <w:rFonts w:ascii="David" w:hAnsi="David" w:cs="David"/>
          <w:sz w:val="24"/>
          <w:szCs w:val="24"/>
          <w:rtl/>
        </w:rPr>
        <w:t>תמ"ש 30328-07-16</w:t>
      </w:r>
      <w:r>
        <w:rPr>
          <w:rFonts w:ascii="David" w:eastAsia="Times New Roman" w:hAnsi="David" w:cs="David"/>
          <w:sz w:val="24"/>
          <w:szCs w:val="24"/>
          <w:rtl/>
        </w:rPr>
        <w:t>) מתקבלת בחלקה; בהתאמה, כאמור בסעיף 32 לעיל, הנני מחייבת את הנתבעת לשלם לתובע סך של 135,000 ₪. הסכום ישולם תוך 30 ימים שאם לא כן, יישא הפרשי ריבית והצמדה החל מיום</w:t>
      </w:r>
      <w:r>
        <w:rPr>
          <w:rFonts w:ascii="Arial" w:eastAsia="Times New Roman" w:hAnsi="Arial" w:cs="David"/>
          <w:sz w:val="24"/>
          <w:szCs w:val="24"/>
          <w:rtl/>
        </w:rPr>
        <w:t xml:space="preserve"> ועד ליום התשלום המלא בפועל.</w:t>
      </w:r>
    </w:p>
    <w:p w:rsidR="00FF7E1B" w:rsidRDefault="00FF7E1B" w:rsidP="00FF7E1B">
      <w:pPr>
        <w:pStyle w:val="aa"/>
        <w:spacing w:after="0" w:line="360" w:lineRule="auto"/>
        <w:jc w:val="both"/>
        <w:rPr>
          <w:rFonts w:ascii="Arial" w:eastAsia="Times New Roman" w:hAnsi="Arial" w:cs="David"/>
          <w:sz w:val="24"/>
          <w:szCs w:val="24"/>
          <w:rtl/>
        </w:rPr>
      </w:pPr>
    </w:p>
    <w:p w:rsidR="00FF7E1B" w:rsidRDefault="00FF7E1B" w:rsidP="00FF7E1B">
      <w:pPr>
        <w:pStyle w:val="aa"/>
        <w:numPr>
          <w:ilvl w:val="0"/>
          <w:numId w:val="8"/>
        </w:numPr>
        <w:spacing w:line="360" w:lineRule="auto"/>
        <w:ind w:left="714" w:hanging="357"/>
        <w:jc w:val="both"/>
        <w:rPr>
          <w:rFonts w:ascii="Arial" w:eastAsia="Times New Roman" w:hAnsi="Arial" w:cs="David"/>
          <w:sz w:val="24"/>
          <w:szCs w:val="24"/>
        </w:rPr>
      </w:pPr>
      <w:r>
        <w:rPr>
          <w:rFonts w:ascii="Arial" w:eastAsia="Times New Roman" w:hAnsi="Arial" w:cs="David"/>
          <w:sz w:val="24"/>
          <w:szCs w:val="24"/>
          <w:rtl/>
        </w:rPr>
        <w:t xml:space="preserve">לעניין חלוקת המיטלטלין ולאור ההסכמה הדיונית אליה הגיעו הצדדים בשאלת המחלוקות שיוכרעו במסגרת הליך זה, לא מצאתי לקבוע סעד; על הצדדים לפעול באופן מיידי ליישום החלטה מיום 3.3.21. לא יעשה כן,  תוך 10 ימים, ימונה כונס נכסים לחלוקת המיטלטלין, וההליך ינוהל בלשכת הוצאה לפועל. </w:t>
      </w:r>
    </w:p>
    <w:p w:rsidR="00FF7E1B" w:rsidRDefault="00FF7E1B" w:rsidP="00FF7E1B">
      <w:pPr>
        <w:pStyle w:val="aa"/>
        <w:rPr>
          <w:rFonts w:ascii="David" w:eastAsia="Times New Roman" w:hAnsi="David" w:cs="David"/>
          <w:sz w:val="24"/>
          <w:szCs w:val="24"/>
        </w:rPr>
      </w:pPr>
    </w:p>
    <w:p w:rsidR="00FF7E1B" w:rsidRDefault="00FF7E1B" w:rsidP="00FF7E1B">
      <w:pPr>
        <w:pStyle w:val="aa"/>
        <w:numPr>
          <w:ilvl w:val="0"/>
          <w:numId w:val="8"/>
        </w:numPr>
        <w:spacing w:after="0" w:line="360" w:lineRule="auto"/>
        <w:jc w:val="both"/>
        <w:rPr>
          <w:rFonts w:ascii="David" w:eastAsia="Times New Roman" w:hAnsi="David" w:cs="David"/>
          <w:sz w:val="24"/>
          <w:szCs w:val="24"/>
        </w:rPr>
      </w:pPr>
      <w:r>
        <w:rPr>
          <w:rFonts w:ascii="David" w:eastAsia="Times New Roman" w:hAnsi="David" w:cs="David"/>
          <w:sz w:val="24"/>
          <w:szCs w:val="24"/>
          <w:rtl/>
        </w:rPr>
        <w:t>התביעה להגדלת דמי המזונות (</w:t>
      </w:r>
      <w:r>
        <w:rPr>
          <w:rFonts w:ascii="David" w:hAnsi="David" w:cs="David"/>
          <w:sz w:val="24"/>
          <w:szCs w:val="24"/>
          <w:rtl/>
        </w:rPr>
        <w:t>תמ"ש 61481-05-20</w:t>
      </w:r>
      <w:r>
        <w:rPr>
          <w:rFonts w:ascii="David" w:eastAsia="Times New Roman" w:hAnsi="David" w:cs="David"/>
          <w:sz w:val="24"/>
          <w:szCs w:val="24"/>
          <w:rtl/>
        </w:rPr>
        <w:t xml:space="preserve">), נדחית במלואה. </w:t>
      </w:r>
    </w:p>
    <w:p w:rsidR="00FF7E1B" w:rsidRDefault="00FF7E1B" w:rsidP="00FF7E1B">
      <w:pPr>
        <w:pStyle w:val="aa"/>
        <w:rPr>
          <w:rFonts w:ascii="David" w:eastAsia="Times New Roman" w:hAnsi="David" w:cs="David"/>
          <w:sz w:val="24"/>
          <w:szCs w:val="24"/>
        </w:rPr>
      </w:pPr>
    </w:p>
    <w:p w:rsidR="00FF7E1B" w:rsidRDefault="00FF7E1B" w:rsidP="00FF7E1B">
      <w:pPr>
        <w:pStyle w:val="aa"/>
        <w:numPr>
          <w:ilvl w:val="0"/>
          <w:numId w:val="8"/>
        </w:numPr>
        <w:spacing w:line="360" w:lineRule="auto"/>
        <w:jc w:val="both"/>
        <w:rPr>
          <w:rFonts w:ascii="David" w:hAnsi="David" w:cs="David"/>
          <w:sz w:val="24"/>
          <w:szCs w:val="24"/>
        </w:rPr>
      </w:pPr>
      <w:r>
        <w:rPr>
          <w:rFonts w:ascii="David" w:hAnsi="David" w:cs="David"/>
          <w:sz w:val="24"/>
          <w:szCs w:val="24"/>
          <w:rtl/>
        </w:rPr>
        <w:t xml:space="preserve">לאחר ששקלתי את כלל השיקולים הצריכים בשאלת ההוצאות ונתתי דעתי בין היתר להתנהלותה הדיונית של הנתבעת ובכלל זה התעלמותה מהחלטות בית המשפט (ראה לעניין זה בין היתר החלטות מיום 8.1.17 ומיום 25.1.17), אשר הביאה להתמשכות ההליך באופן ניכר כמו גם להוצאות נוספות לתובע, אני מחייבת אותה בהוצאות לטובת התובע בסך 15,000 ₪.  התשלום יבוצע תוך 30 ימים מהיום שאם לא כן יישא הסכום הפרשי ריבית והצמדה החל מהיום ועד ליום התשלום המלא בפועל. </w:t>
      </w:r>
    </w:p>
    <w:p w:rsidR="00FF7E1B" w:rsidRDefault="00FF7E1B" w:rsidP="00FF7E1B">
      <w:pPr>
        <w:pStyle w:val="aa"/>
        <w:rPr>
          <w:rFonts w:ascii="David" w:hAnsi="David" w:cs="David"/>
          <w:sz w:val="24"/>
          <w:szCs w:val="24"/>
        </w:rPr>
      </w:pPr>
    </w:p>
    <w:p w:rsidR="00FF7E1B" w:rsidRDefault="00FF7E1B" w:rsidP="00FF7E1B">
      <w:pPr>
        <w:pStyle w:val="aa"/>
        <w:numPr>
          <w:ilvl w:val="0"/>
          <w:numId w:val="8"/>
        </w:numPr>
        <w:spacing w:line="360" w:lineRule="auto"/>
        <w:jc w:val="both"/>
        <w:rPr>
          <w:rFonts w:ascii="David" w:hAnsi="David" w:cs="David"/>
          <w:sz w:val="24"/>
          <w:szCs w:val="24"/>
          <w:rtl/>
        </w:rPr>
      </w:pPr>
      <w:r>
        <w:rPr>
          <w:rFonts w:ascii="David" w:hAnsi="David" w:cs="David"/>
          <w:sz w:val="24"/>
          <w:szCs w:val="24"/>
          <w:rtl/>
        </w:rPr>
        <w:lastRenderedPageBreak/>
        <w:t xml:space="preserve">פס"ד מותר לביצוע בלשכת ההוצאה לפועל </w:t>
      </w:r>
      <w:r>
        <w:rPr>
          <w:rFonts w:ascii="David" w:eastAsia="Times New Roman" w:hAnsi="David" w:cs="David"/>
          <w:sz w:val="24"/>
          <w:szCs w:val="24"/>
          <w:rtl/>
        </w:rPr>
        <w:t>בהתאם לסעיף 7 לחוק ב</w:t>
      </w:r>
      <w:r>
        <w:rPr>
          <w:rFonts w:ascii="David" w:hAnsi="David" w:cs="David"/>
          <w:sz w:val="24"/>
          <w:szCs w:val="24"/>
          <w:rtl/>
        </w:rPr>
        <w:t xml:space="preserve">תי המשפט לענייני משפחה. </w:t>
      </w:r>
    </w:p>
    <w:p w:rsidR="00FF7E1B" w:rsidRDefault="00FF7E1B" w:rsidP="00FF7E1B">
      <w:pPr>
        <w:spacing w:line="360" w:lineRule="auto"/>
        <w:jc w:val="both"/>
        <w:rPr>
          <w:rFonts w:ascii="David" w:hAnsi="David"/>
          <w:rtl/>
        </w:rPr>
      </w:pPr>
      <w:r>
        <w:rPr>
          <w:rFonts w:ascii="David" w:hAnsi="David"/>
          <w:rtl/>
        </w:rPr>
        <w:t>בזאת תמו המחלוקות לפניי.</w:t>
      </w:r>
    </w:p>
    <w:p w:rsidR="00FF7E1B" w:rsidRDefault="00FF7E1B" w:rsidP="00FF7E1B">
      <w:pPr>
        <w:spacing w:line="360" w:lineRule="auto"/>
        <w:jc w:val="both"/>
        <w:rPr>
          <w:rFonts w:ascii="David" w:hAnsi="David"/>
          <w:rtl/>
        </w:rPr>
      </w:pPr>
    </w:p>
    <w:p w:rsidR="00FF7E1B" w:rsidRDefault="00FF7E1B" w:rsidP="00FF7E1B">
      <w:pPr>
        <w:spacing w:line="360" w:lineRule="auto"/>
        <w:jc w:val="both"/>
        <w:rPr>
          <w:rFonts w:ascii="David" w:hAnsi="David"/>
          <w:rtl/>
        </w:rPr>
      </w:pPr>
      <w:r>
        <w:rPr>
          <w:rFonts w:ascii="David" w:hAnsi="David"/>
          <w:b/>
          <w:bCs/>
          <w:u w:val="single"/>
          <w:rtl/>
        </w:rPr>
        <w:t xml:space="preserve">המזכירות </w:t>
      </w:r>
      <w:r>
        <w:rPr>
          <w:rFonts w:ascii="David" w:hAnsi="David"/>
          <w:rtl/>
        </w:rPr>
        <w:t>תמציא פס"ד לצדדים ותסגור את כלל התיקים הפתוחים.</w:t>
      </w:r>
    </w:p>
    <w:p w:rsidR="00FF7E1B" w:rsidRDefault="00FF7E1B" w:rsidP="00FF7E1B">
      <w:pPr>
        <w:spacing w:line="360" w:lineRule="auto"/>
        <w:jc w:val="both"/>
        <w:rPr>
          <w:rFonts w:ascii="David" w:hAnsi="David"/>
          <w:rtl/>
        </w:rPr>
      </w:pPr>
    </w:p>
    <w:p w:rsidR="005534D5" w:rsidRDefault="005534D5" w:rsidP="00FF7E1B">
      <w:pPr>
        <w:spacing w:line="360" w:lineRule="auto"/>
        <w:jc w:val="both"/>
        <w:rPr>
          <w:rFonts w:ascii="David" w:hAnsi="David"/>
          <w:rtl/>
        </w:rPr>
      </w:pPr>
      <w:r>
        <w:rPr>
          <w:rFonts w:ascii="David" w:hAnsi="David" w:hint="cs"/>
          <w:rtl/>
        </w:rPr>
        <w:t xml:space="preserve">פסק הדין ניתן לפרסום. </w:t>
      </w:r>
    </w:p>
    <w:p w:rsidR="005534D5" w:rsidRDefault="005534D5" w:rsidP="00FF7E1B">
      <w:pPr>
        <w:spacing w:line="360" w:lineRule="auto"/>
        <w:jc w:val="both"/>
        <w:rPr>
          <w:rFonts w:ascii="David" w:hAnsi="David"/>
          <w:rtl/>
        </w:rPr>
      </w:pPr>
    </w:p>
    <w:p w:rsidR="00FF7E1B" w:rsidRPr="005534D5" w:rsidRDefault="00FF7E1B" w:rsidP="00FF7E1B">
      <w:pPr>
        <w:spacing w:line="360" w:lineRule="auto"/>
        <w:jc w:val="both"/>
        <w:rPr>
          <w:rFonts w:ascii="Arial" w:hAnsi="Arial"/>
          <w:b/>
          <w:bCs/>
          <w:rtl/>
        </w:rPr>
      </w:pPr>
      <w:r w:rsidRPr="005534D5">
        <w:rPr>
          <w:rFonts w:ascii="Arial" w:hAnsi="Arial"/>
          <w:b/>
          <w:bCs/>
          <w:rtl/>
        </w:rPr>
        <w:t xml:space="preserve">ניתן היום,  </w:t>
      </w:r>
      <w:sdt>
        <w:sdtPr>
          <w:rPr>
            <w:b/>
            <w:bCs/>
            <w:rtl/>
          </w:rPr>
          <w:alias w:val="1455"/>
          <w:tag w:val="1455"/>
          <w:id w:val="242217728"/>
          <w:text w:multiLine="1"/>
        </w:sdtPr>
        <w:sdtEndPr/>
        <w:sdtContent>
          <w:r w:rsidRPr="005534D5">
            <w:rPr>
              <w:rFonts w:ascii="Arial" w:hAnsi="Arial"/>
              <w:b/>
              <w:bCs/>
              <w:rtl/>
            </w:rPr>
            <w:t>א' סיוון תשפ"ג</w:t>
          </w:r>
        </w:sdtContent>
      </w:sdt>
      <w:r w:rsidRPr="005534D5">
        <w:rPr>
          <w:rFonts w:ascii="Arial" w:hAnsi="Arial"/>
          <w:b/>
          <w:bCs/>
          <w:rtl/>
        </w:rPr>
        <w:t xml:space="preserve">, </w:t>
      </w:r>
      <w:sdt>
        <w:sdtPr>
          <w:rPr>
            <w:b/>
            <w:bCs/>
            <w:rtl/>
          </w:rPr>
          <w:alias w:val="1456"/>
          <w:tag w:val="1456"/>
          <w:id w:val="-1101635932"/>
          <w:text w:multiLine="1"/>
        </w:sdtPr>
        <w:sdtEndPr/>
        <w:sdtContent>
          <w:r w:rsidRPr="005534D5">
            <w:rPr>
              <w:rFonts w:ascii="Arial" w:hAnsi="Arial"/>
              <w:b/>
              <w:bCs/>
              <w:rtl/>
            </w:rPr>
            <w:t>21 מאי 2023</w:t>
          </w:r>
        </w:sdtContent>
      </w:sdt>
      <w:r w:rsidRPr="005534D5">
        <w:rPr>
          <w:rFonts w:ascii="Arial" w:hAnsi="Arial"/>
          <w:b/>
          <w:bCs/>
          <w:rtl/>
        </w:rPr>
        <w:t>, בהעדר הצדדים.</w:t>
      </w:r>
    </w:p>
    <w:p w:rsidR="00FF7E1B" w:rsidRDefault="00FF7E1B" w:rsidP="00FF7E1B">
      <w:pPr>
        <w:spacing w:line="360" w:lineRule="auto"/>
        <w:jc w:val="both"/>
        <w:rPr>
          <w:rFonts w:ascii="Arial" w:hAnsi="Arial"/>
          <w:rtl/>
        </w:rPr>
      </w:pP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sdt>
        <w:sdtPr>
          <w:rPr>
            <w:rFonts w:ascii="Arial" w:hAnsi="Arial"/>
            <w:rtl/>
          </w:rPr>
          <w:alias w:val="2045"/>
          <w:tag w:val="2045"/>
          <w:id w:val="1736736771"/>
          <w:placeholder>
            <w:docPart w:val="8D8CDCE179FF4B0C973CE952570AAA92"/>
          </w:placeholder>
          <w:showingPlcHdr/>
          <w:text w:multiLine="1"/>
        </w:sdtPr>
        <w:sdtEndPr/>
        <w:sdtContent/>
      </w:sdt>
      <w:r>
        <w:rPr>
          <w:rFonts w:ascii="Arial" w:hAnsi="Arial"/>
          <w:rtl/>
        </w:rPr>
        <w:tab/>
      </w:r>
      <w:r>
        <w:rPr>
          <w:rFonts w:ascii="Arial" w:hAnsi="Arial"/>
          <w:rtl/>
        </w:rPr>
        <w:tab/>
        <w:t xml:space="preserve"> </w:t>
      </w:r>
    </w:p>
    <w:p w:rsidR="002A5C78" w:rsidRDefault="00DE374D" w:rsidP="00EC61FC">
      <w:pPr>
        <w:spacing w:line="360" w:lineRule="auto"/>
        <w:ind w:left="3600" w:firstLine="720"/>
        <w:rPr>
          <w:rtl/>
        </w:rPr>
      </w:pPr>
      <w:sdt>
        <w:sdtPr>
          <w:rPr>
            <w:rtl/>
          </w:rPr>
          <w:alias w:val="MergeField"/>
          <w:tag w:val="1237"/>
          <w:id w:val="1477491034"/>
        </w:sdtPr>
        <w:sdtEndPr/>
        <w:sdtContent>
          <w:r w:rsidR="00FF7E1B">
            <w:rPr>
              <w:noProof/>
            </w:rPr>
            <w:drawing>
              <wp:inline distT="0" distB="0" distL="0" distR="0">
                <wp:extent cx="1336675" cy="8382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6675" cy="838200"/>
                        </a:xfrm>
                        <a:prstGeom prst="rect">
                          <a:avLst/>
                        </a:prstGeom>
                        <a:noFill/>
                        <a:ln>
                          <a:noFill/>
                        </a:ln>
                      </pic:spPr>
                    </pic:pic>
                  </a:graphicData>
                </a:graphic>
              </wp:inline>
            </w:drawing>
          </w:r>
        </w:sdtContent>
      </w:sdt>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sectPr w:rsidR="002A5C78" w:rsidSect="002A5C78">
      <w:headerReference w:type="default" r:id="rId8"/>
      <w:footerReference w:type="default" r:id="rId9"/>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74D" w:rsidRDefault="00DE374D" w:rsidP="002A5C78">
      <w:r>
        <w:separator/>
      </w:r>
    </w:p>
  </w:endnote>
  <w:endnote w:type="continuationSeparator" w:id="0">
    <w:p w:rsidR="00DE374D" w:rsidRDefault="00DE374D"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B30FAD" w:rsidRPr="00B30FAD">
          <w:rPr>
            <w:noProof/>
            <w:rtl/>
            <w:lang w:val="he-IL"/>
          </w:rPr>
          <w:t>1</w:t>
        </w:r>
        <w:r>
          <w:fldChar w:fldCharType="end"/>
        </w:r>
      </w:p>
    </w:sdtContent>
  </w:sdt>
  <w:p w:rsidR="002A5C78" w:rsidRDefault="002A5C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74D" w:rsidRDefault="00DE374D" w:rsidP="002A5C78">
      <w:r>
        <w:separator/>
      </w:r>
    </w:p>
  </w:footnote>
  <w:footnote w:type="continuationSeparator" w:id="0">
    <w:p w:rsidR="00DE374D" w:rsidRDefault="00DE374D"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noProof/>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w:rPr>
        <w:noProof/>
      </w:rPr>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jc w:val="center"/>
                    </w:pPr>
                  </w:p>
                </w:txbxContent>
              </v:textbox>
              <w10:wrap anchorx="margin" anchory="margin"/>
            </v:shape>
          </w:pict>
        </mc:Fallback>
      </mc:AlternateContent>
    </w:r>
  </w:p>
  <w:sdt>
    <w:sdtPr>
      <w:rPr>
        <w:rFonts w:ascii="Tahoma" w:hAnsi="Tahoma" w:cs="Tahoma"/>
        <w:b/>
        <w:bCs/>
        <w:noProof/>
        <w:color w:val="002060"/>
        <w:rtl/>
      </w:rPr>
      <w:alias w:val="1174"/>
      <w:tag w:val="1174"/>
      <w:id w:val="-1775709220"/>
      <w:text/>
    </w:sdtPr>
    <w:sdtEndPr/>
    <w:sdtContent>
      <w:p w:rsidR="002A5C78" w:rsidRDefault="002A5C78" w:rsidP="002A5C78">
        <w:pPr>
          <w:pStyle w:val="a3"/>
          <w:jc w:val="center"/>
          <w:rPr>
            <w:rtl/>
            <w:cs/>
          </w:rPr>
        </w:pPr>
        <w:r w:rsidRPr="00B709FB">
          <w:rPr>
            <w:rFonts w:ascii="Tahoma" w:hAnsi="Tahoma" w:cs="Tahoma"/>
            <w:b/>
            <w:bCs/>
            <w:noProof/>
            <w:color w:val="002060"/>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b/>
        <w:bCs/>
        <w:rtl/>
        <w:cs/>
      </w:rPr>
    </w:pPr>
  </w:p>
  <w:p w:rsidR="005F67F3" w:rsidRDefault="00DE374D" w:rsidP="005F67F3">
    <w:pPr>
      <w:rPr>
        <w:b/>
        <w:bCs/>
        <w:sz w:val="26"/>
        <w:szCs w:val="26"/>
      </w:rPr>
    </w:pPr>
    <w:sdt>
      <w:sdtPr>
        <w:rPr>
          <w:b/>
          <w:bCs/>
          <w:sz w:val="26"/>
          <w:szCs w:val="26"/>
          <w:rtl/>
        </w:rPr>
        <w:alias w:val="1170"/>
        <w:tag w:val="1170"/>
        <w:id w:val="299038016"/>
        <w:text w:multiLine="1"/>
      </w:sdtPr>
      <w:sdtEndPr/>
      <w:sdtContent>
        <w:r w:rsidR="005F67F3">
          <w:rPr>
            <w:b/>
            <w:bCs/>
            <w:sz w:val="26"/>
            <w:szCs w:val="26"/>
            <w:rtl/>
          </w:rPr>
          <w:t>תלה"מ</w:t>
        </w:r>
      </w:sdtContent>
    </w:sdt>
    <w:r w:rsidR="005F67F3">
      <w:rPr>
        <w:b/>
        <w:bCs/>
        <w:sz w:val="26"/>
        <w:szCs w:val="26"/>
        <w:rtl/>
      </w:rPr>
      <w:t xml:space="preserve"> </w:t>
    </w:r>
    <w:sdt>
      <w:sdtPr>
        <w:rPr>
          <w:b/>
          <w:bCs/>
          <w:sz w:val="26"/>
          <w:szCs w:val="26"/>
          <w:rtl/>
        </w:rPr>
        <w:alias w:val="1171"/>
        <w:tag w:val="1171"/>
        <w:id w:val="81650337"/>
        <w:text w:multiLine="1"/>
      </w:sdtPr>
      <w:sdtEndPr/>
      <w:sdtContent>
        <w:r w:rsidR="005F67F3">
          <w:rPr>
            <w:b/>
            <w:bCs/>
            <w:sz w:val="26"/>
            <w:szCs w:val="26"/>
            <w:rtl/>
          </w:rPr>
          <w:t>61481-05-20</w:t>
        </w:r>
      </w:sdtContent>
    </w:sdt>
    <w:r w:rsidR="005F67F3">
      <w:rPr>
        <w:b/>
        <w:bCs/>
        <w:sz w:val="26"/>
        <w:szCs w:val="26"/>
        <w:rtl/>
      </w:rPr>
      <w:t xml:space="preserve"> </w:t>
    </w:r>
    <w:r w:rsidR="005F67F3">
      <w:rPr>
        <w:rFonts w:hint="cs"/>
        <w:b/>
        <w:bCs/>
        <w:sz w:val="26"/>
        <w:szCs w:val="26"/>
        <w:rtl/>
      </w:rPr>
      <w:t xml:space="preserve">פלוני נ' אלמוני </w:t>
    </w:r>
  </w:p>
  <w:p w:rsidR="005F67F3" w:rsidRDefault="005F67F3" w:rsidP="005F67F3">
    <w:pPr>
      <w:rPr>
        <w:b/>
        <w:bCs/>
        <w:sz w:val="2"/>
        <w:szCs w:val="2"/>
        <w:rtl/>
      </w:rPr>
    </w:pPr>
  </w:p>
  <w:p w:rsidR="002A5C78" w:rsidRDefault="005F67F3" w:rsidP="005F67F3">
    <w:pPr>
      <w:pStyle w:val="a3"/>
      <w:rPr>
        <w:b/>
        <w:bCs/>
        <w:sz w:val="26"/>
        <w:szCs w:val="26"/>
        <w:rtl/>
      </w:rPr>
    </w:pPr>
    <w:r>
      <w:rPr>
        <w:b/>
        <w:bCs/>
        <w:sz w:val="26"/>
        <w:szCs w:val="26"/>
        <w:rtl/>
      </w:rPr>
      <w:t xml:space="preserve">תמ"ש 30328-07-16 </w:t>
    </w:r>
    <w:r>
      <w:rPr>
        <w:rFonts w:hint="cs"/>
        <w:b/>
        <w:bCs/>
        <w:sz w:val="26"/>
        <w:szCs w:val="26"/>
        <w:rtl/>
      </w:rPr>
      <w:t xml:space="preserve">פלוני נ' אלמוני </w:t>
    </w:r>
  </w:p>
  <w:p w:rsidR="005F67F3" w:rsidRDefault="005F67F3" w:rsidP="005F67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669"/>
    <w:multiLevelType w:val="hybridMultilevel"/>
    <w:tmpl w:val="B70E18A6"/>
    <w:lvl w:ilvl="0" w:tplc="DA84B4AC">
      <w:start w:val="1"/>
      <w:numFmt w:val="hebrew1"/>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8524DB"/>
    <w:multiLevelType w:val="hybridMultilevel"/>
    <w:tmpl w:val="1A908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EF6CB5"/>
    <w:multiLevelType w:val="hybridMultilevel"/>
    <w:tmpl w:val="5DE48F5E"/>
    <w:lvl w:ilvl="0" w:tplc="04090013">
      <w:start w:val="1"/>
      <w:numFmt w:val="hebrew1"/>
      <w:lvlText w:val="%1."/>
      <w:lvlJc w:val="center"/>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9A86DA9"/>
    <w:multiLevelType w:val="hybridMultilevel"/>
    <w:tmpl w:val="2586CD90"/>
    <w:lvl w:ilvl="0" w:tplc="B350A220">
      <w:start w:val="1"/>
      <w:numFmt w:val="decimal"/>
      <w:lvlText w:val="%1."/>
      <w:lvlJc w:val="left"/>
      <w:pPr>
        <w:ind w:left="360" w:hanging="360"/>
      </w:pPr>
      <w:rPr>
        <w:rFonts w:ascii="David" w:hAnsi="David" w:cs="David" w:hint="default"/>
        <w:b/>
        <w:bCs/>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3E3733"/>
    <w:multiLevelType w:val="hybridMultilevel"/>
    <w:tmpl w:val="99C8F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8C5D5F"/>
    <w:multiLevelType w:val="hybridMultilevel"/>
    <w:tmpl w:val="41746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F12F15"/>
    <w:multiLevelType w:val="hybridMultilevel"/>
    <w:tmpl w:val="A4D032D2"/>
    <w:lvl w:ilvl="0" w:tplc="0280244C">
      <w:start w:val="1"/>
      <w:numFmt w:val="hebrew1"/>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DB0402"/>
    <w:multiLevelType w:val="hybridMultilevel"/>
    <w:tmpl w:val="CFACA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2A5C78"/>
    <w:rsid w:val="00422DB9"/>
    <w:rsid w:val="004D461B"/>
    <w:rsid w:val="005534D5"/>
    <w:rsid w:val="005F67F3"/>
    <w:rsid w:val="00960714"/>
    <w:rsid w:val="009A5D0B"/>
    <w:rsid w:val="00A11621"/>
    <w:rsid w:val="00AA45B9"/>
    <w:rsid w:val="00B30FAD"/>
    <w:rsid w:val="00B709FB"/>
    <w:rsid w:val="00DD62E2"/>
    <w:rsid w:val="00DE374D"/>
    <w:rsid w:val="00E7093F"/>
    <w:rsid w:val="00EC61FC"/>
    <w:rsid w:val="00F445B1"/>
    <w:rsid w:val="00FF7E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7E1B"/>
    <w:pPr>
      <w:bidi/>
      <w:spacing w:after="0" w:line="240" w:lineRule="auto"/>
    </w:pPr>
    <w:rPr>
      <w:rFonts w:ascii="Times New Roman" w:eastAsia="Times New Roman" w:hAnsi="Times New Roman"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cs="Times New Roman"/>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paragraph" w:styleId="aa">
    <w:name w:val="List Paragraph"/>
    <w:basedOn w:val="a"/>
    <w:uiPriority w:val="34"/>
    <w:qFormat/>
    <w:rsid w:val="00FF7E1B"/>
    <w:pPr>
      <w:spacing w:after="160" w:line="254" w:lineRule="auto"/>
      <w:ind w:left="720"/>
      <w:contextualSpacing/>
    </w:pPr>
    <w:rPr>
      <w:rFonts w:asciiTheme="minorHAnsi" w:eastAsiaTheme="minorHAnsi" w:hAnsiTheme="minorHAnsi" w:cstheme="minorBidi"/>
      <w:sz w:val="22"/>
      <w:szCs w:val="22"/>
    </w:rPr>
  </w:style>
  <w:style w:type="table" w:styleId="ab">
    <w:name w:val="Table Grid"/>
    <w:basedOn w:val="a1"/>
    <w:rsid w:val="00FF7E1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74407">
      <w:bodyDiv w:val="1"/>
      <w:marLeft w:val="0"/>
      <w:marRight w:val="0"/>
      <w:marTop w:val="0"/>
      <w:marBottom w:val="0"/>
      <w:divBdr>
        <w:top w:val="none" w:sz="0" w:space="0" w:color="auto"/>
        <w:left w:val="none" w:sz="0" w:space="0" w:color="auto"/>
        <w:bottom w:val="none" w:sz="0" w:space="0" w:color="auto"/>
        <w:right w:val="none" w:sz="0" w:space="0" w:color="auto"/>
      </w:divBdr>
    </w:div>
    <w:div w:id="70460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8CDCE179FF4B0C973CE952570AAA92"/>
        <w:category>
          <w:name w:val="כללי"/>
          <w:gallery w:val="placeholder"/>
        </w:category>
        <w:types>
          <w:type w:val="bbPlcHdr"/>
        </w:types>
        <w:behaviors>
          <w:behavior w:val="content"/>
        </w:behaviors>
        <w:guid w:val="{C20DA4DD-C164-42B7-A660-BED91F2E5F71}"/>
      </w:docPartPr>
      <w:docPartBody>
        <w:p w:rsidR="00D865D1" w:rsidRDefault="00266A24" w:rsidP="00266A24">
          <w:pPr>
            <w:pStyle w:val="8D8CDCE179FF4B0C973CE952570AAA92"/>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24"/>
    <w:rsid w:val="001F39E6"/>
    <w:rsid w:val="00266A24"/>
    <w:rsid w:val="006A470B"/>
    <w:rsid w:val="00D865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36105DCB7D34F89BA3F019D7CEAA7C2">
    <w:name w:val="336105DCB7D34F89BA3F019D7CEAA7C2"/>
    <w:rsid w:val="00266A24"/>
    <w:pPr>
      <w:bidi/>
    </w:pPr>
  </w:style>
  <w:style w:type="paragraph" w:customStyle="1" w:styleId="618CDC1CFE0648C2991696E89AC1E1AE">
    <w:name w:val="618CDC1CFE0648C2991696E89AC1E1AE"/>
    <w:rsid w:val="00266A24"/>
    <w:pPr>
      <w:bidi/>
    </w:pPr>
  </w:style>
  <w:style w:type="paragraph" w:customStyle="1" w:styleId="0F8DA971BC30473F9D9AB10ED00D2DF2">
    <w:name w:val="0F8DA971BC30473F9D9AB10ED00D2DF2"/>
    <w:rsid w:val="00266A24"/>
    <w:pPr>
      <w:bidi/>
    </w:pPr>
  </w:style>
  <w:style w:type="paragraph" w:customStyle="1" w:styleId="D8CDE470BFB34A36B7AA6C554CEDF312">
    <w:name w:val="D8CDE470BFB34A36B7AA6C554CEDF312"/>
    <w:rsid w:val="00266A24"/>
    <w:pPr>
      <w:bidi/>
    </w:pPr>
  </w:style>
  <w:style w:type="character" w:styleId="a3">
    <w:name w:val="Placeholder Text"/>
    <w:basedOn w:val="a0"/>
    <w:uiPriority w:val="99"/>
    <w:semiHidden/>
    <w:rsid w:val="00266A24"/>
  </w:style>
  <w:style w:type="paragraph" w:customStyle="1" w:styleId="8D8CDCE179FF4B0C973CE952570AAA92">
    <w:name w:val="8D8CDCE179FF4B0C973CE952570AAA92"/>
    <w:rsid w:val="00266A2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5091</Words>
  <Characters>25458</Characters>
  <Application>Microsoft Office Word</Application>
  <DocSecurity>0</DocSecurity>
  <Lines>212</Lines>
  <Paragraphs>60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2023-07-19T12:24:00Z</dcterms:created>
  <dcterms:modified xsi:type="dcterms:W3CDTF">2023-07-19T12:24:00Z</dcterms:modified>
</cp:coreProperties>
</file>